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62342" w14:textId="77777777" w:rsidR="00BE51FC" w:rsidRDefault="00000000">
      <w:pPr>
        <w:spacing w:after="160" w:line="288" w:lineRule="auto"/>
        <w:jc w:val="center"/>
        <w:rPr>
          <w:rFonts w:ascii="宋体" w:eastAsia="宋体" w:hAnsi="宋体" w:hint="eastAsia"/>
          <w:lang w:eastAsia="zh-CN"/>
        </w:rPr>
      </w:pPr>
      <w:proofErr w:type="gramStart"/>
      <w:r>
        <w:rPr>
          <w:rFonts w:ascii="宋体" w:eastAsia="宋体" w:hAnsi="宋体"/>
          <w:b/>
          <w:sz w:val="30"/>
          <w:lang w:eastAsia="zh-CN"/>
        </w:rPr>
        <w:t>汇安基金</w:t>
      </w:r>
      <w:proofErr w:type="gramEnd"/>
      <w:r>
        <w:rPr>
          <w:rFonts w:ascii="宋体" w:eastAsia="宋体" w:hAnsi="宋体"/>
          <w:b/>
          <w:sz w:val="30"/>
          <w:lang w:eastAsia="zh-CN"/>
        </w:rPr>
        <w:t>管理有限责任公司</w:t>
      </w:r>
    </w:p>
    <w:p w14:paraId="2E14BAEE" w14:textId="77777777" w:rsidR="00BE51FC" w:rsidRDefault="00000000">
      <w:pPr>
        <w:pStyle w:val="af3"/>
        <w:spacing w:after="120"/>
        <w:jc w:val="center"/>
        <w:rPr>
          <w:rFonts w:ascii="宋体" w:eastAsia="宋体" w:hAnsi="宋体" w:hint="eastAsia"/>
          <w:b/>
          <w:color w:val="auto"/>
          <w:sz w:val="36"/>
          <w:lang w:eastAsia="zh-CN"/>
        </w:rPr>
      </w:pPr>
      <w:r>
        <w:rPr>
          <w:rFonts w:ascii="宋体" w:eastAsia="宋体" w:hAnsi="宋体"/>
          <w:b/>
          <w:color w:val="auto"/>
          <w:sz w:val="36"/>
          <w:lang w:eastAsia="zh-CN"/>
        </w:rPr>
        <w:t>参与上市公司治理及股东大会、</w:t>
      </w:r>
    </w:p>
    <w:p w14:paraId="6CD38659" w14:textId="77777777" w:rsidR="00BE51FC" w:rsidRDefault="00000000">
      <w:pPr>
        <w:pStyle w:val="af3"/>
        <w:spacing w:after="120"/>
        <w:jc w:val="center"/>
        <w:rPr>
          <w:rFonts w:ascii="宋体" w:eastAsia="宋体" w:hAnsi="宋体" w:hint="eastAsia"/>
          <w:color w:val="auto"/>
          <w:lang w:eastAsia="zh-CN"/>
        </w:rPr>
      </w:pPr>
      <w:r>
        <w:rPr>
          <w:rFonts w:ascii="宋体" w:eastAsia="宋体" w:hAnsi="宋体"/>
          <w:b/>
          <w:color w:val="auto"/>
          <w:sz w:val="36"/>
          <w:lang w:eastAsia="zh-CN"/>
        </w:rPr>
        <w:t>债权人大会表决管理制度</w:t>
      </w:r>
    </w:p>
    <w:p w14:paraId="09D5E96A" w14:textId="77777777" w:rsidR="00BE51FC" w:rsidRDefault="00000000">
      <w:pPr>
        <w:pStyle w:val="af0"/>
        <w:jc w:val="center"/>
        <w:rPr>
          <w:rFonts w:ascii="宋体" w:eastAsia="宋体" w:hAnsi="宋体" w:hint="eastAsia"/>
          <w:color w:val="auto"/>
          <w:lang w:eastAsia="zh-CN"/>
        </w:rPr>
      </w:pPr>
      <w:r>
        <w:rPr>
          <w:rFonts w:ascii="宋体" w:eastAsia="宋体" w:hAnsi="宋体" w:cs="宋体" w:hint="eastAsia"/>
          <w:i w:val="0"/>
          <w:color w:val="auto"/>
          <w:sz w:val="22"/>
          <w:lang w:eastAsia="zh-CN"/>
        </w:rPr>
        <w:t>（</w:t>
      </w:r>
      <w:r>
        <w:rPr>
          <w:rFonts w:ascii="宋体" w:eastAsia="宋体" w:hAnsi="宋体"/>
          <w:i w:val="0"/>
          <w:color w:val="auto"/>
          <w:sz w:val="22"/>
          <w:lang w:eastAsia="zh-CN"/>
        </w:rPr>
        <w:t>202</w:t>
      </w:r>
      <w:r>
        <w:rPr>
          <w:rFonts w:ascii="宋体" w:eastAsia="宋体" w:hAnsi="宋体" w:hint="eastAsia"/>
          <w:i w:val="0"/>
          <w:color w:val="auto"/>
          <w:sz w:val="22"/>
          <w:lang w:eastAsia="zh-CN"/>
        </w:rPr>
        <w:t>5</w:t>
      </w:r>
      <w:r>
        <w:rPr>
          <w:rFonts w:ascii="宋体" w:eastAsia="宋体" w:hAnsi="宋体" w:cs="宋体" w:hint="eastAsia"/>
          <w:i w:val="0"/>
          <w:color w:val="auto"/>
          <w:sz w:val="22"/>
          <w:lang w:eastAsia="zh-CN"/>
        </w:rPr>
        <w:t>年</w:t>
      </w:r>
      <w:r>
        <w:rPr>
          <w:rFonts w:ascii="宋体" w:eastAsia="宋体" w:hAnsi="宋体" w:hint="eastAsia"/>
          <w:i w:val="0"/>
          <w:color w:val="auto"/>
          <w:sz w:val="22"/>
          <w:lang w:eastAsia="zh-CN"/>
        </w:rPr>
        <w:t>12</w:t>
      </w:r>
      <w:r>
        <w:rPr>
          <w:rFonts w:ascii="宋体" w:eastAsia="宋体" w:hAnsi="宋体" w:cs="宋体" w:hint="eastAsia"/>
          <w:i w:val="0"/>
          <w:color w:val="auto"/>
          <w:sz w:val="22"/>
          <w:lang w:eastAsia="zh-CN"/>
        </w:rPr>
        <w:t>月</w:t>
      </w:r>
      <w:r>
        <w:rPr>
          <w:rFonts w:ascii="宋体" w:eastAsia="宋体" w:hAnsi="宋体" w:hint="eastAsia"/>
          <w:i w:val="0"/>
          <w:color w:val="auto"/>
          <w:sz w:val="22"/>
          <w:lang w:eastAsia="zh-CN"/>
        </w:rPr>
        <w:t>31</w:t>
      </w:r>
      <w:r>
        <w:rPr>
          <w:rFonts w:ascii="宋体" w:eastAsia="宋体" w:hAnsi="宋体" w:cs="宋体" w:hint="eastAsia"/>
          <w:i w:val="0"/>
          <w:color w:val="auto"/>
          <w:sz w:val="22"/>
          <w:lang w:eastAsia="zh-CN"/>
        </w:rPr>
        <w:t>日修订）</w:t>
      </w:r>
    </w:p>
    <w:p w14:paraId="33CAF0B2" w14:textId="77777777" w:rsidR="00BE51FC" w:rsidRDefault="00000000">
      <w:pPr>
        <w:spacing w:after="280" w:line="240" w:lineRule="auto"/>
        <w:jc w:val="center"/>
        <w:rPr>
          <w:rFonts w:ascii="宋体" w:eastAsia="宋体" w:hAnsi="宋体" w:hint="eastAsia"/>
          <w:lang w:eastAsia="zh-CN"/>
        </w:rPr>
      </w:pPr>
      <w:r>
        <w:rPr>
          <w:rFonts w:ascii="宋体" w:eastAsia="宋体" w:hAnsi="宋体"/>
          <w:sz w:val="21"/>
          <w:lang w:eastAsia="zh-CN"/>
        </w:rPr>
        <w:t>依据《公开募集证券投资基金管理人参与上市公司治理管理规则》修订</w:t>
      </w:r>
    </w:p>
    <w:p w14:paraId="6DB8286E" w14:textId="77777777" w:rsidR="00BE51FC" w:rsidRDefault="00BE51FC">
      <w:pPr>
        <w:rPr>
          <w:rFonts w:ascii="宋体" w:eastAsia="宋体" w:hAnsi="宋体" w:hint="eastAsia"/>
          <w:lang w:eastAsia="zh-CN"/>
        </w:rPr>
      </w:pPr>
    </w:p>
    <w:p w14:paraId="61512247" w14:textId="77777777" w:rsidR="00BE51FC" w:rsidRDefault="00000000">
      <w:pPr>
        <w:jc w:val="center"/>
        <w:rPr>
          <w:rFonts w:ascii="宋体" w:eastAsia="宋体" w:hAnsi="宋体" w:hint="eastAsia"/>
          <w:sz w:val="28"/>
          <w:szCs w:val="28"/>
          <w:lang w:eastAsia="zh-CN"/>
        </w:rPr>
      </w:pPr>
      <w:r>
        <w:rPr>
          <w:rFonts w:ascii="宋体" w:eastAsia="宋体" w:hAnsi="宋体"/>
          <w:b/>
          <w:sz w:val="28"/>
          <w:szCs w:val="28"/>
          <w:lang w:eastAsia="zh-CN"/>
        </w:rPr>
        <w:t>第一章 总则</w:t>
      </w:r>
    </w:p>
    <w:p w14:paraId="009CF250" w14:textId="77777777" w:rsidR="00BE51FC" w:rsidRDefault="00BE51FC">
      <w:pPr>
        <w:spacing w:after="80" w:line="240" w:lineRule="auto"/>
        <w:jc w:val="both"/>
        <w:rPr>
          <w:rFonts w:ascii="宋体" w:eastAsia="宋体" w:hAnsi="宋体" w:hint="eastAsia"/>
          <w:sz w:val="28"/>
          <w:szCs w:val="28"/>
          <w:lang w:eastAsia="zh-CN"/>
        </w:rPr>
      </w:pPr>
    </w:p>
    <w:p w14:paraId="2008857C"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第一条 </w:t>
      </w:r>
      <w:r>
        <w:rPr>
          <w:rFonts w:ascii="宋体" w:eastAsia="宋体" w:hAnsi="宋体"/>
          <w:sz w:val="28"/>
          <w:szCs w:val="28"/>
          <w:lang w:eastAsia="zh-CN"/>
        </w:rPr>
        <w:t>为保护基金份额持有人合法权益，促进公司代表所管理基金积极、规范参与上市公司治理，根据《中华人民共和国证券投资基金法》《中华人民共和国公司法》《公开募集证券投资基金管理人监督管理办法》《上市公司治理准则》《公开募集证券投资基金管理人参与上市公司治理管理规则》及公司内部管理制度，制定本制度。</w:t>
      </w:r>
    </w:p>
    <w:p w14:paraId="01F5B627" w14:textId="77777777" w:rsidR="00BE51FC" w:rsidRDefault="00BE51FC">
      <w:pPr>
        <w:spacing w:after="100" w:line="288" w:lineRule="auto"/>
        <w:jc w:val="both"/>
        <w:rPr>
          <w:rFonts w:ascii="宋体" w:eastAsia="宋体" w:hAnsi="宋体" w:hint="eastAsia"/>
          <w:sz w:val="28"/>
          <w:szCs w:val="28"/>
          <w:lang w:eastAsia="zh-CN"/>
        </w:rPr>
      </w:pPr>
    </w:p>
    <w:p w14:paraId="4A599573" w14:textId="7442609F"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第二条 </w:t>
      </w:r>
      <w:r>
        <w:rPr>
          <w:rFonts w:ascii="宋体" w:eastAsia="宋体" w:hAnsi="宋体"/>
          <w:sz w:val="28"/>
          <w:szCs w:val="28"/>
          <w:lang w:eastAsia="zh-CN"/>
        </w:rPr>
        <w:t>本制度适用于公司代表所管理公开募集证券投资基金参与上市公司治理，以及参加上市公司股东大会、债权人大会就相关重大事项进行表决的管理工作。同时适用于</w:t>
      </w:r>
      <w:r>
        <w:rPr>
          <w:rFonts w:ascii="宋体" w:eastAsia="宋体" w:hAnsi="宋体" w:hint="eastAsia"/>
          <w:sz w:val="28"/>
          <w:szCs w:val="28"/>
          <w:lang w:eastAsia="zh-CN"/>
        </w:rPr>
        <w:t>公</w:t>
      </w:r>
      <w:proofErr w:type="gramStart"/>
      <w:r>
        <w:rPr>
          <w:rFonts w:ascii="宋体" w:eastAsia="宋体" w:hAnsi="宋体" w:hint="eastAsia"/>
          <w:sz w:val="28"/>
          <w:szCs w:val="28"/>
          <w:lang w:eastAsia="zh-CN"/>
        </w:rPr>
        <w:t>募基金</w:t>
      </w:r>
      <w:proofErr w:type="gramEnd"/>
      <w:r>
        <w:rPr>
          <w:rFonts w:ascii="宋体" w:eastAsia="宋体" w:hAnsi="宋体"/>
          <w:sz w:val="28"/>
          <w:szCs w:val="28"/>
          <w:lang w:eastAsia="zh-CN"/>
        </w:rPr>
        <w:t>投资管理人员及特定客户资产</w:t>
      </w:r>
      <w:r>
        <w:rPr>
          <w:rFonts w:ascii="宋体" w:eastAsia="宋体" w:hAnsi="宋体" w:hint="eastAsia"/>
          <w:sz w:val="28"/>
          <w:szCs w:val="28"/>
          <w:lang w:eastAsia="zh-CN"/>
        </w:rPr>
        <w:t>管理计划</w:t>
      </w:r>
      <w:r>
        <w:rPr>
          <w:rFonts w:ascii="宋体" w:eastAsia="宋体" w:hAnsi="宋体"/>
          <w:sz w:val="28"/>
          <w:szCs w:val="28"/>
          <w:lang w:eastAsia="zh-CN"/>
        </w:rPr>
        <w:t>投资管理人员。公司代表特定客户资产管理计划参与表决或者参与上市公司治理的，法律法规、监管规定或者合同另有约定的，从其规定；无明确规定的，可参照本制度执行。</w:t>
      </w:r>
    </w:p>
    <w:p w14:paraId="40B06673" w14:textId="77777777" w:rsidR="00BE51FC" w:rsidRDefault="00BE51FC">
      <w:pPr>
        <w:spacing w:after="40" w:line="324" w:lineRule="auto"/>
        <w:jc w:val="both"/>
        <w:rPr>
          <w:rFonts w:ascii="宋体" w:eastAsia="宋体" w:hAnsi="宋体" w:hint="eastAsia"/>
          <w:sz w:val="28"/>
          <w:szCs w:val="28"/>
          <w:lang w:eastAsia="zh-CN"/>
        </w:rPr>
      </w:pPr>
    </w:p>
    <w:p w14:paraId="1C742DDC"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第三条 </w:t>
      </w:r>
      <w:r>
        <w:rPr>
          <w:rFonts w:ascii="宋体" w:eastAsia="宋体" w:hAnsi="宋体"/>
          <w:sz w:val="28"/>
          <w:szCs w:val="28"/>
          <w:lang w:eastAsia="zh-CN"/>
        </w:rPr>
        <w:t>本制度所称参与上市公司治理，是指公司代表基金份额持有人利益，对基金所投资上市公司行使表决权、质询权、建议权等股东权利。</w:t>
      </w:r>
    </w:p>
    <w:p w14:paraId="30100D8A" w14:textId="77777777" w:rsidR="00BE51FC" w:rsidRDefault="00BE51FC">
      <w:pPr>
        <w:spacing w:after="100" w:line="288" w:lineRule="auto"/>
        <w:jc w:val="both"/>
        <w:rPr>
          <w:rFonts w:ascii="宋体" w:eastAsia="宋体" w:hAnsi="宋体" w:hint="eastAsia"/>
          <w:sz w:val="28"/>
          <w:szCs w:val="28"/>
          <w:lang w:eastAsia="zh-CN"/>
        </w:rPr>
      </w:pPr>
    </w:p>
    <w:p w14:paraId="72E43EF2"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第四条 </w:t>
      </w:r>
      <w:r>
        <w:rPr>
          <w:rFonts w:ascii="宋体" w:eastAsia="宋体" w:hAnsi="宋体"/>
          <w:sz w:val="28"/>
          <w:szCs w:val="28"/>
          <w:lang w:eastAsia="zh-CN"/>
        </w:rPr>
        <w:t>公司代表基金参与上市公司治理及行使表决权，应当以维护基金份额持有人权益、提升上市公司质量为目标，贯彻创新、协调、绿色、开</w:t>
      </w:r>
      <w:r>
        <w:rPr>
          <w:rFonts w:ascii="宋体" w:eastAsia="宋体" w:hAnsi="宋体"/>
          <w:sz w:val="28"/>
          <w:szCs w:val="28"/>
          <w:lang w:eastAsia="zh-CN"/>
        </w:rPr>
        <w:lastRenderedPageBreak/>
        <w:t>放、共享的发展理念，并遵循基金份额持有人利益优先、不谋求控制、防范利益冲突、专业独立判断、守法合</w:t>
      </w:r>
      <w:proofErr w:type="gramStart"/>
      <w:r>
        <w:rPr>
          <w:rFonts w:ascii="宋体" w:eastAsia="宋体" w:hAnsi="宋体"/>
          <w:sz w:val="28"/>
          <w:szCs w:val="28"/>
          <w:lang w:eastAsia="zh-CN"/>
        </w:rPr>
        <w:t>规</w:t>
      </w:r>
      <w:proofErr w:type="gramEnd"/>
      <w:r>
        <w:rPr>
          <w:rFonts w:ascii="宋体" w:eastAsia="宋体" w:hAnsi="宋体"/>
          <w:sz w:val="28"/>
          <w:szCs w:val="28"/>
          <w:lang w:eastAsia="zh-CN"/>
        </w:rPr>
        <w:t>原则。</w:t>
      </w:r>
    </w:p>
    <w:p w14:paraId="394FC59F" w14:textId="77777777" w:rsidR="00BE51FC" w:rsidRDefault="00BE51FC">
      <w:pPr>
        <w:spacing w:after="100" w:line="288" w:lineRule="auto"/>
        <w:jc w:val="both"/>
        <w:rPr>
          <w:rFonts w:ascii="宋体" w:eastAsia="宋体" w:hAnsi="宋体" w:hint="eastAsia"/>
          <w:sz w:val="28"/>
          <w:szCs w:val="28"/>
          <w:lang w:eastAsia="zh-CN"/>
        </w:rPr>
      </w:pPr>
    </w:p>
    <w:p w14:paraId="445D3A68"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第五条 </w:t>
      </w:r>
      <w:r>
        <w:rPr>
          <w:rFonts w:ascii="宋体" w:eastAsia="宋体" w:hAnsi="宋体"/>
          <w:sz w:val="28"/>
          <w:szCs w:val="28"/>
          <w:lang w:eastAsia="zh-CN"/>
        </w:rPr>
        <w:t>公司应当结合自身经营特点、基金投资策略、实际持股情况及持股占上市公司流通股比例，建立参与上市公司治理的总体政策和参与标准，明确参与目标、原则、关注事项及对应参与方式。</w:t>
      </w:r>
    </w:p>
    <w:p w14:paraId="479672DC" w14:textId="77777777" w:rsidR="00BE51FC" w:rsidRDefault="00BE51FC">
      <w:pPr>
        <w:spacing w:after="100" w:line="288" w:lineRule="auto"/>
        <w:jc w:val="both"/>
        <w:rPr>
          <w:rFonts w:ascii="宋体" w:eastAsia="宋体" w:hAnsi="宋体" w:hint="eastAsia"/>
          <w:sz w:val="28"/>
          <w:szCs w:val="28"/>
          <w:lang w:eastAsia="zh-CN"/>
        </w:rPr>
      </w:pPr>
    </w:p>
    <w:p w14:paraId="71C13BE8" w14:textId="77777777" w:rsidR="00BE51FC" w:rsidRDefault="00000000">
      <w:pPr>
        <w:pStyle w:val="1"/>
        <w:spacing w:before="200" w:after="120"/>
        <w:jc w:val="center"/>
        <w:rPr>
          <w:rFonts w:ascii="宋体" w:eastAsia="宋体" w:hAnsi="宋体" w:hint="eastAsia"/>
          <w:color w:val="auto"/>
          <w:lang w:eastAsia="zh-CN"/>
        </w:rPr>
      </w:pPr>
      <w:r>
        <w:rPr>
          <w:rFonts w:ascii="宋体" w:eastAsia="宋体" w:hAnsi="宋体"/>
          <w:color w:val="auto"/>
          <w:lang w:eastAsia="zh-CN"/>
        </w:rPr>
        <w:t>第二章 参与上市公司治理及股东大会表决的一般要求</w:t>
      </w:r>
    </w:p>
    <w:p w14:paraId="1D243941" w14:textId="77777777" w:rsidR="00BE51FC" w:rsidRDefault="00BE51FC">
      <w:pPr>
        <w:spacing w:after="80" w:line="240" w:lineRule="auto"/>
        <w:jc w:val="both"/>
        <w:rPr>
          <w:rFonts w:ascii="宋体" w:eastAsia="宋体" w:hAnsi="宋体" w:hint="eastAsia"/>
          <w:sz w:val="28"/>
          <w:szCs w:val="28"/>
          <w:lang w:eastAsia="zh-CN"/>
        </w:rPr>
      </w:pPr>
    </w:p>
    <w:p w14:paraId="11B543C4"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第六条 </w:t>
      </w:r>
      <w:r>
        <w:rPr>
          <w:rFonts w:ascii="宋体" w:eastAsia="宋体" w:hAnsi="宋体"/>
          <w:sz w:val="28"/>
          <w:szCs w:val="28"/>
          <w:lang w:eastAsia="zh-CN"/>
        </w:rPr>
        <w:t>公司代表基金参与上市公司治理时，应当持续关注下列行为或者事项：</w:t>
      </w:r>
    </w:p>
    <w:p w14:paraId="71F55ED0"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（一）发展战略是否可持续，是否符合国家战略；</w:t>
      </w:r>
    </w:p>
    <w:p w14:paraId="6D433CA2"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（二）财务情况是否健康；</w:t>
      </w:r>
    </w:p>
    <w:p w14:paraId="477A026B"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（三）上市公司及中小股东利益是否被侵害；</w:t>
      </w:r>
    </w:p>
    <w:p w14:paraId="2EBBAE8B"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（四）治理结构是否有利于公司长期健康发展；</w:t>
      </w:r>
    </w:p>
    <w:p w14:paraId="7123E502"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（五）信息披露是否及时、完整、准确；</w:t>
      </w:r>
    </w:p>
    <w:p w14:paraId="091567C1"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（六）环境保护、社会责任是否履行；</w:t>
      </w:r>
    </w:p>
    <w:p w14:paraId="153A0B7E"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（七）商业信誉是否受损；</w:t>
      </w:r>
    </w:p>
    <w:p w14:paraId="6ED792F9"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（八）其他影响公司整体价值或者使公司面临风险的内外部事件。</w:t>
      </w:r>
    </w:p>
    <w:p w14:paraId="5F2E4F1E" w14:textId="77777777" w:rsidR="00BE51FC" w:rsidRDefault="00BE51FC">
      <w:pPr>
        <w:spacing w:after="100" w:line="288" w:lineRule="auto"/>
        <w:jc w:val="both"/>
        <w:rPr>
          <w:rFonts w:ascii="宋体" w:eastAsia="宋体" w:hAnsi="宋体" w:hint="eastAsia"/>
          <w:sz w:val="28"/>
          <w:szCs w:val="28"/>
          <w:lang w:eastAsia="zh-CN"/>
        </w:rPr>
      </w:pPr>
    </w:p>
    <w:p w14:paraId="0E9E2B10"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第七条 </w:t>
      </w:r>
      <w:r>
        <w:rPr>
          <w:rFonts w:ascii="宋体" w:eastAsia="宋体" w:hAnsi="宋体"/>
          <w:sz w:val="28"/>
          <w:szCs w:val="28"/>
          <w:lang w:eastAsia="zh-CN"/>
        </w:rPr>
        <w:t>公司代表基金行使股东权利的方式主要包括：</w:t>
      </w:r>
    </w:p>
    <w:p w14:paraId="64E6AD46"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（一）通过股东会、业绩说明会、分析师会议、路演、调研等与上市公司进行沟通；</w:t>
      </w:r>
    </w:p>
    <w:p w14:paraId="00923392"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（二）致函上市公司；</w:t>
      </w:r>
    </w:p>
    <w:p w14:paraId="03D1130D"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（三）对议案进行表决；</w:t>
      </w:r>
    </w:p>
    <w:p w14:paraId="06D4973E"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（四）依法提出质询、建议等股东权利；</w:t>
      </w:r>
    </w:p>
    <w:p w14:paraId="24BAE95E"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（五）法律法规允许的其他有利于提升上市公司质量的方式。</w:t>
      </w:r>
    </w:p>
    <w:p w14:paraId="31978C6E" w14:textId="6F0D6EF1"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lastRenderedPageBreak/>
        <w:t>涉及提出股东提案、提名董事、提议召集或者自行召集股东会、通过法定信息披露渠道发布信息、提起仲裁或者诉讼等重大事项的，应当</w:t>
      </w:r>
      <w:r w:rsidR="004037F1">
        <w:rPr>
          <w:rFonts w:ascii="宋体" w:eastAsia="宋体" w:hAnsi="宋体" w:hint="eastAsia"/>
          <w:sz w:val="28"/>
          <w:szCs w:val="28"/>
          <w:lang w:eastAsia="zh-CN"/>
        </w:rPr>
        <w:t>经投资决策委员会审议</w:t>
      </w:r>
      <w:r>
        <w:rPr>
          <w:rFonts w:ascii="宋体" w:eastAsia="宋体" w:hAnsi="宋体"/>
          <w:sz w:val="28"/>
          <w:szCs w:val="28"/>
          <w:lang w:eastAsia="zh-CN"/>
        </w:rPr>
        <w:t>后实施。</w:t>
      </w:r>
    </w:p>
    <w:p w14:paraId="1DF31661" w14:textId="77777777" w:rsidR="00BE51FC" w:rsidRDefault="00BE51FC">
      <w:pPr>
        <w:spacing w:after="100" w:line="288" w:lineRule="auto"/>
        <w:jc w:val="both"/>
        <w:rPr>
          <w:rFonts w:ascii="宋体" w:eastAsia="宋体" w:hAnsi="宋体" w:hint="eastAsia"/>
          <w:sz w:val="28"/>
          <w:szCs w:val="28"/>
          <w:lang w:eastAsia="zh-CN"/>
        </w:rPr>
      </w:pPr>
    </w:p>
    <w:p w14:paraId="11AE467B" w14:textId="354A02D3"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第八条 </w:t>
      </w:r>
      <w:r>
        <w:rPr>
          <w:rFonts w:ascii="宋体" w:eastAsia="宋体" w:hAnsi="宋体"/>
          <w:sz w:val="28"/>
          <w:szCs w:val="28"/>
          <w:lang w:eastAsia="zh-CN"/>
        </w:rPr>
        <w:t>公司代表基金行使表决权</w:t>
      </w:r>
      <w:r w:rsidR="004037F1">
        <w:rPr>
          <w:rFonts w:ascii="宋体" w:eastAsia="宋体" w:hAnsi="宋体" w:hint="eastAsia"/>
          <w:sz w:val="28"/>
          <w:szCs w:val="28"/>
          <w:lang w:eastAsia="zh-CN"/>
        </w:rPr>
        <w:t>的，应提交OA流程审议，</w:t>
      </w:r>
      <w:r w:rsidR="004037F1">
        <w:rPr>
          <w:rFonts w:ascii="宋体" w:eastAsia="宋体" w:hAnsi="宋体"/>
          <w:sz w:val="28"/>
          <w:szCs w:val="28"/>
          <w:lang w:eastAsia="zh-CN"/>
        </w:rPr>
        <w:t>代表基金</w:t>
      </w:r>
      <w:r w:rsidR="004037F1">
        <w:rPr>
          <w:rFonts w:ascii="宋体" w:eastAsia="宋体" w:hAnsi="宋体" w:hint="eastAsia"/>
          <w:sz w:val="28"/>
          <w:szCs w:val="28"/>
          <w:lang w:eastAsia="zh-CN"/>
        </w:rPr>
        <w:t>行使</w:t>
      </w:r>
      <w:r>
        <w:rPr>
          <w:rFonts w:ascii="宋体" w:eastAsia="宋体" w:hAnsi="宋体"/>
          <w:sz w:val="28"/>
          <w:szCs w:val="28"/>
          <w:lang w:eastAsia="zh-CN"/>
        </w:rPr>
        <w:t>质询权、建议权等股东权利的</w:t>
      </w:r>
      <w:r w:rsidR="004037F1">
        <w:rPr>
          <w:rFonts w:ascii="宋体" w:eastAsia="宋体" w:hAnsi="宋体" w:hint="eastAsia"/>
          <w:sz w:val="28"/>
          <w:szCs w:val="28"/>
          <w:lang w:eastAsia="zh-CN"/>
        </w:rPr>
        <w:t>，应提交投资决策委员会审议。</w:t>
      </w:r>
      <w:r>
        <w:rPr>
          <w:rFonts w:ascii="宋体" w:eastAsia="宋体" w:hAnsi="宋体"/>
          <w:sz w:val="28"/>
          <w:szCs w:val="28"/>
          <w:lang w:eastAsia="zh-CN"/>
        </w:rPr>
        <w:t>权益研究部为上市公司治理及股东大会表决事项的牵头部门，负责有关信息收集、议案分析、行权建议提出及后续跟踪；投资人员结合投资策略和组合利益提出表决意见；交易部负责网络投票执行及相关留痕；合</w:t>
      </w:r>
      <w:proofErr w:type="gramStart"/>
      <w:r>
        <w:rPr>
          <w:rFonts w:ascii="宋体" w:eastAsia="宋体" w:hAnsi="宋体"/>
          <w:sz w:val="28"/>
          <w:szCs w:val="28"/>
          <w:lang w:eastAsia="zh-CN"/>
        </w:rPr>
        <w:t>规风控部</w:t>
      </w:r>
      <w:proofErr w:type="gramEnd"/>
      <w:r>
        <w:rPr>
          <w:rFonts w:ascii="宋体" w:eastAsia="宋体" w:hAnsi="宋体"/>
          <w:sz w:val="28"/>
          <w:szCs w:val="28"/>
          <w:lang w:eastAsia="zh-CN"/>
        </w:rPr>
        <w:t>负责利益冲突审查、合</w:t>
      </w:r>
      <w:proofErr w:type="gramStart"/>
      <w:r>
        <w:rPr>
          <w:rFonts w:ascii="宋体" w:eastAsia="宋体" w:hAnsi="宋体"/>
          <w:sz w:val="28"/>
          <w:szCs w:val="28"/>
          <w:lang w:eastAsia="zh-CN"/>
        </w:rPr>
        <w:t>规</w:t>
      </w:r>
      <w:proofErr w:type="gramEnd"/>
      <w:r>
        <w:rPr>
          <w:rFonts w:ascii="宋体" w:eastAsia="宋体" w:hAnsi="宋体"/>
          <w:sz w:val="28"/>
          <w:szCs w:val="28"/>
          <w:lang w:eastAsia="zh-CN"/>
        </w:rPr>
        <w:t>审核、制度检查和年度自查；涉及信息披露的，由合</w:t>
      </w:r>
      <w:proofErr w:type="gramStart"/>
      <w:r>
        <w:rPr>
          <w:rFonts w:ascii="宋体" w:eastAsia="宋体" w:hAnsi="宋体"/>
          <w:sz w:val="28"/>
          <w:szCs w:val="28"/>
          <w:lang w:eastAsia="zh-CN"/>
        </w:rPr>
        <w:t>规风控部</w:t>
      </w:r>
      <w:proofErr w:type="gramEnd"/>
      <w:r>
        <w:rPr>
          <w:rFonts w:ascii="宋体" w:eastAsia="宋体" w:hAnsi="宋体"/>
          <w:sz w:val="28"/>
          <w:szCs w:val="28"/>
          <w:lang w:eastAsia="zh-CN"/>
        </w:rPr>
        <w:t>会同相关部门办理。</w:t>
      </w:r>
    </w:p>
    <w:p w14:paraId="65D29BD9" w14:textId="77777777" w:rsidR="00BE51FC" w:rsidRDefault="00BE51FC">
      <w:pPr>
        <w:spacing w:after="100" w:line="288" w:lineRule="auto"/>
        <w:jc w:val="both"/>
        <w:rPr>
          <w:rFonts w:ascii="宋体" w:eastAsia="宋体" w:hAnsi="宋体" w:hint="eastAsia"/>
          <w:sz w:val="28"/>
          <w:szCs w:val="28"/>
          <w:lang w:eastAsia="zh-CN"/>
        </w:rPr>
      </w:pPr>
    </w:p>
    <w:p w14:paraId="5BB1B264" w14:textId="77777777" w:rsidR="00BE51FC" w:rsidRDefault="00000000">
      <w:pPr>
        <w:pStyle w:val="1"/>
        <w:spacing w:before="200" w:after="120"/>
        <w:jc w:val="center"/>
        <w:rPr>
          <w:rFonts w:ascii="宋体" w:eastAsia="宋体" w:hAnsi="宋体" w:hint="eastAsia"/>
          <w:color w:val="auto"/>
          <w:lang w:eastAsia="zh-CN"/>
        </w:rPr>
      </w:pPr>
      <w:r>
        <w:rPr>
          <w:rFonts w:ascii="宋体" w:eastAsia="宋体" w:hAnsi="宋体"/>
          <w:color w:val="auto"/>
          <w:lang w:eastAsia="zh-CN"/>
        </w:rPr>
        <w:t>第三章 参与股东大会就重大事项进行表决的管理</w:t>
      </w:r>
    </w:p>
    <w:p w14:paraId="2FD1FBB8" w14:textId="77777777" w:rsidR="00BE51FC" w:rsidRDefault="00BE51FC">
      <w:pPr>
        <w:spacing w:after="40" w:line="324" w:lineRule="auto"/>
        <w:jc w:val="both"/>
        <w:rPr>
          <w:rFonts w:ascii="宋体" w:eastAsia="宋体" w:hAnsi="宋体" w:hint="eastAsia"/>
          <w:sz w:val="28"/>
          <w:szCs w:val="28"/>
          <w:lang w:eastAsia="zh-CN"/>
        </w:rPr>
      </w:pPr>
    </w:p>
    <w:p w14:paraId="1435F409"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第九条 </w:t>
      </w:r>
      <w:r>
        <w:rPr>
          <w:rFonts w:ascii="宋体" w:eastAsia="宋体" w:hAnsi="宋体"/>
          <w:sz w:val="28"/>
          <w:szCs w:val="28"/>
          <w:lang w:eastAsia="zh-CN"/>
        </w:rPr>
        <w:t>股东大会表决事项的启动条件包括：</w:t>
      </w:r>
    </w:p>
    <w:p w14:paraId="74DFBCBB"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（一）收到上市公司股东大会通知、征集投票通知、议案材料等；</w:t>
      </w:r>
    </w:p>
    <w:p w14:paraId="46584C5E"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（二）权益研究部或投资人员在持续跟踪中发现需要通过行使股东权利参与治理的事项；</w:t>
      </w:r>
    </w:p>
    <w:p w14:paraId="4476847F"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（三）其他法律法规、自律规则或者公司认为需要启动表决或治理程序的情形。</w:t>
      </w:r>
    </w:p>
    <w:p w14:paraId="11C5C785" w14:textId="77777777" w:rsidR="00BE51FC" w:rsidRDefault="00BE51FC">
      <w:pPr>
        <w:spacing w:after="100" w:line="288" w:lineRule="auto"/>
        <w:jc w:val="both"/>
        <w:rPr>
          <w:rFonts w:ascii="宋体" w:eastAsia="宋体" w:hAnsi="宋体" w:hint="eastAsia"/>
          <w:sz w:val="28"/>
          <w:szCs w:val="28"/>
          <w:lang w:eastAsia="zh-CN"/>
        </w:rPr>
      </w:pPr>
    </w:p>
    <w:p w14:paraId="6B83E273"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第十条 </w:t>
      </w:r>
      <w:r>
        <w:rPr>
          <w:rFonts w:ascii="宋体" w:eastAsia="宋体" w:hAnsi="宋体"/>
          <w:sz w:val="28"/>
          <w:szCs w:val="28"/>
          <w:lang w:eastAsia="zh-CN"/>
        </w:rPr>
        <w:t>公司参加股东大会表决，重点关注但不限于下列事项：</w:t>
      </w:r>
    </w:p>
    <w:p w14:paraId="3D934B44"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（一）与股东知情权、决策权、分红权等股东权益相关的事项，包括《公司章程》等制度修订、利润分配等；</w:t>
      </w:r>
    </w:p>
    <w:p w14:paraId="56BB4259"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（二）董事的选举或者罢免；</w:t>
      </w:r>
    </w:p>
    <w:p w14:paraId="68ED3795"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（三）涉及股权变动的事项，包括向特定对象发行股票、公开发行可转换公司债、向原股东配售股份及回购股份等；</w:t>
      </w:r>
    </w:p>
    <w:p w14:paraId="6F7A3481"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（四）董事、高级管理人员薪酬，以及股权激励计划和员工持股计划；</w:t>
      </w:r>
    </w:p>
    <w:p w14:paraId="3E3D2FDA"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lastRenderedPageBreak/>
        <w:t>（五）关联交易；</w:t>
      </w:r>
    </w:p>
    <w:p w14:paraId="4C6182C1"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（六）财务资助；</w:t>
      </w:r>
    </w:p>
    <w:p w14:paraId="53E207AB"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（七）资产购买与出售；</w:t>
      </w:r>
    </w:p>
    <w:p w14:paraId="214D17FE" w14:textId="77777777" w:rsidR="00BE51FC" w:rsidRDefault="00000000">
      <w:pPr>
        <w:spacing w:after="20" w:line="312" w:lineRule="auto"/>
        <w:ind w:left="397"/>
        <w:jc w:val="both"/>
        <w:rPr>
          <w:rFonts w:ascii="宋体" w:eastAsia="宋体" w:hAnsi="宋体" w:hint="eastAsia"/>
          <w:sz w:val="28"/>
          <w:szCs w:val="28"/>
        </w:rPr>
      </w:pPr>
      <w:r>
        <w:rPr>
          <w:rFonts w:ascii="宋体" w:eastAsia="宋体" w:hAnsi="宋体"/>
          <w:sz w:val="28"/>
          <w:szCs w:val="28"/>
        </w:rPr>
        <w:t>（</w:t>
      </w:r>
      <w:proofErr w:type="spellStart"/>
      <w:r>
        <w:rPr>
          <w:rFonts w:ascii="宋体" w:eastAsia="宋体" w:hAnsi="宋体"/>
          <w:sz w:val="28"/>
          <w:szCs w:val="28"/>
        </w:rPr>
        <w:t>八）公司的分立、合并、</w:t>
      </w:r>
      <w:proofErr w:type="gramStart"/>
      <w:r>
        <w:rPr>
          <w:rFonts w:ascii="宋体" w:eastAsia="宋体" w:hAnsi="宋体"/>
          <w:sz w:val="28"/>
          <w:szCs w:val="28"/>
        </w:rPr>
        <w:t>解散和清算</w:t>
      </w:r>
      <w:proofErr w:type="spellEnd"/>
      <w:r>
        <w:rPr>
          <w:rFonts w:ascii="宋体" w:eastAsia="宋体" w:hAnsi="宋体"/>
          <w:sz w:val="28"/>
          <w:szCs w:val="28"/>
        </w:rPr>
        <w:t>；</w:t>
      </w:r>
      <w:proofErr w:type="gramEnd"/>
    </w:p>
    <w:p w14:paraId="259E4231"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（九）聘任审计机构；</w:t>
      </w:r>
    </w:p>
    <w:p w14:paraId="435E2040"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（十）融资、投资、担保等事项；</w:t>
      </w:r>
    </w:p>
    <w:p w14:paraId="0D0817E9"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（十一）涉及污染防治、资源节约、生态保护等环境保护义务的事项；</w:t>
      </w:r>
    </w:p>
    <w:p w14:paraId="0A8A0543"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（十二）涉及员工权益保护、社区福利、救灾助困、公益事业等社会责任的事项；</w:t>
      </w:r>
    </w:p>
    <w:p w14:paraId="6BF896FB"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（十三）涉及公司经营发展及股东权益的其他重大事项。</w:t>
      </w:r>
    </w:p>
    <w:p w14:paraId="3AC50B80" w14:textId="77777777" w:rsidR="00BE51FC" w:rsidRDefault="00BE51FC">
      <w:pPr>
        <w:spacing w:after="100" w:line="288" w:lineRule="auto"/>
        <w:jc w:val="both"/>
        <w:rPr>
          <w:rFonts w:ascii="宋体" w:eastAsia="宋体" w:hAnsi="宋体" w:hint="eastAsia"/>
          <w:sz w:val="28"/>
          <w:szCs w:val="28"/>
          <w:lang w:eastAsia="zh-CN"/>
        </w:rPr>
      </w:pPr>
    </w:p>
    <w:p w14:paraId="34571221"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第十一条 </w:t>
      </w:r>
      <w:r>
        <w:rPr>
          <w:rFonts w:ascii="宋体" w:eastAsia="宋体" w:hAnsi="宋体"/>
          <w:sz w:val="28"/>
          <w:szCs w:val="28"/>
          <w:lang w:eastAsia="zh-CN"/>
        </w:rPr>
        <w:t>表决意见形成标准如下：</w:t>
      </w:r>
    </w:p>
    <w:p w14:paraId="0B5F53A8"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（一）议案有利于上市公司长期健康发展、维护股东合法权益，且不存在明显合</w:t>
      </w:r>
      <w:proofErr w:type="gramStart"/>
      <w:r>
        <w:rPr>
          <w:rFonts w:ascii="宋体" w:eastAsia="宋体" w:hAnsi="宋体"/>
          <w:sz w:val="28"/>
          <w:szCs w:val="28"/>
          <w:lang w:eastAsia="zh-CN"/>
        </w:rPr>
        <w:t>规</w:t>
      </w:r>
      <w:proofErr w:type="gramEnd"/>
      <w:r>
        <w:rPr>
          <w:rFonts w:ascii="宋体" w:eastAsia="宋体" w:hAnsi="宋体"/>
          <w:sz w:val="28"/>
          <w:szCs w:val="28"/>
          <w:lang w:eastAsia="zh-CN"/>
        </w:rPr>
        <w:t>风险的，可以投赞成票；</w:t>
      </w:r>
    </w:p>
    <w:p w14:paraId="63191B70"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（二）议案可能损害基金份额持有人利益、侵害中小股东权益、存在明显治理缺陷、利益输送风险、信息披露重大瑕疵或者其他重大不利影响的，应当投反对票；</w:t>
      </w:r>
    </w:p>
    <w:p w14:paraId="553E757F"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（三）对于信息披露不充分、决策依据不足、影响暂无法合理判断或者其他不宜明确表示赞成、反对意见的事项，可以投弃权票。</w:t>
      </w:r>
    </w:p>
    <w:p w14:paraId="582E72DC" w14:textId="77777777" w:rsidR="00BE51FC" w:rsidRDefault="00BE51FC">
      <w:pPr>
        <w:spacing w:after="100" w:line="288" w:lineRule="auto"/>
        <w:jc w:val="both"/>
        <w:rPr>
          <w:rFonts w:ascii="宋体" w:eastAsia="宋体" w:hAnsi="宋体" w:hint="eastAsia"/>
          <w:sz w:val="28"/>
          <w:szCs w:val="28"/>
          <w:lang w:eastAsia="zh-CN"/>
        </w:rPr>
      </w:pPr>
    </w:p>
    <w:p w14:paraId="08F94714"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第十二条 </w:t>
      </w:r>
      <w:r>
        <w:rPr>
          <w:rFonts w:ascii="宋体" w:eastAsia="宋体" w:hAnsi="宋体"/>
          <w:sz w:val="28"/>
          <w:szCs w:val="28"/>
          <w:lang w:eastAsia="zh-CN"/>
        </w:rPr>
        <w:t>公司管理的基金合计持有单一股票占其流通股本比例达到5%（含）以上的，对于本制度第十条所列相关重大事项，应当积极行使表决权。</w:t>
      </w:r>
    </w:p>
    <w:p w14:paraId="5E2885FB" w14:textId="77777777" w:rsidR="00BE51FC" w:rsidRDefault="00BE51FC">
      <w:pPr>
        <w:spacing w:after="100" w:line="288" w:lineRule="auto"/>
        <w:jc w:val="both"/>
        <w:rPr>
          <w:rFonts w:ascii="宋体" w:eastAsia="宋体" w:hAnsi="宋体" w:hint="eastAsia"/>
          <w:sz w:val="28"/>
          <w:szCs w:val="28"/>
          <w:lang w:eastAsia="zh-CN"/>
        </w:rPr>
      </w:pPr>
    </w:p>
    <w:p w14:paraId="53A8E578" w14:textId="3181B398"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第十三条 </w:t>
      </w:r>
      <w:r>
        <w:rPr>
          <w:rFonts w:ascii="宋体" w:eastAsia="宋体" w:hAnsi="宋体"/>
          <w:sz w:val="28"/>
          <w:szCs w:val="28"/>
          <w:lang w:eastAsia="zh-CN"/>
        </w:rPr>
        <w:t>多只组合同时持有同一上市公司股票的，应当分别从各组合份额持有人利益出发形成表决意见。需要授权相关人员参加股东大会行使表决权的，所有相关投资人员应当对投票事项（赞成、反对、弃权）签字确认；若有异议，应当书面留痕。表决意见存在分歧的，经投资决策委员会</w:t>
      </w:r>
      <w:r>
        <w:rPr>
          <w:rFonts w:ascii="宋体" w:eastAsia="宋体" w:hAnsi="宋体"/>
          <w:sz w:val="28"/>
          <w:szCs w:val="28"/>
          <w:lang w:eastAsia="zh-CN"/>
        </w:rPr>
        <w:lastRenderedPageBreak/>
        <w:t>审议确认后，被授权人应当按照审批结论分别行使权利或者统一执行操作，不得机械要求所有组合表决意见一致。</w:t>
      </w:r>
    </w:p>
    <w:p w14:paraId="11780D08" w14:textId="77777777" w:rsidR="00BE51FC" w:rsidRDefault="00BE51FC">
      <w:pPr>
        <w:spacing w:after="100" w:line="288" w:lineRule="auto"/>
        <w:jc w:val="both"/>
        <w:rPr>
          <w:rFonts w:ascii="宋体" w:eastAsia="宋体" w:hAnsi="宋体" w:hint="eastAsia"/>
          <w:sz w:val="28"/>
          <w:szCs w:val="28"/>
          <w:lang w:eastAsia="zh-CN"/>
        </w:rPr>
      </w:pPr>
    </w:p>
    <w:p w14:paraId="4598969E"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第十四条 </w:t>
      </w:r>
      <w:r>
        <w:rPr>
          <w:rFonts w:ascii="宋体" w:eastAsia="宋体" w:hAnsi="宋体"/>
          <w:sz w:val="28"/>
          <w:szCs w:val="28"/>
          <w:lang w:eastAsia="zh-CN"/>
        </w:rPr>
        <w:t>公司应当根据授权管理要求，指定相关部门或者人员执行表决。参加现场表决的，应当向参与表决的工作人员出具书面授权委托书，列明授权范围、表决意见和授权期限。被授权人应当严格按照授权范围行使权利，不得擅自变更表决意见或者转委托他人。</w:t>
      </w:r>
    </w:p>
    <w:p w14:paraId="09D6F368" w14:textId="77777777" w:rsidR="00BE51FC" w:rsidRDefault="00BE51FC">
      <w:pPr>
        <w:spacing w:after="100" w:line="288" w:lineRule="auto"/>
        <w:jc w:val="both"/>
        <w:rPr>
          <w:rFonts w:ascii="宋体" w:eastAsia="宋体" w:hAnsi="宋体" w:hint="eastAsia"/>
          <w:sz w:val="28"/>
          <w:szCs w:val="28"/>
          <w:lang w:eastAsia="zh-CN"/>
        </w:rPr>
      </w:pPr>
    </w:p>
    <w:p w14:paraId="1644A59D"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第十五条 </w:t>
      </w:r>
      <w:r>
        <w:rPr>
          <w:rFonts w:ascii="宋体" w:eastAsia="宋体" w:hAnsi="宋体"/>
          <w:sz w:val="28"/>
          <w:szCs w:val="28"/>
          <w:lang w:eastAsia="zh-CN"/>
        </w:rPr>
        <w:t>股东大会表决原则上选择网络投票；根据需要，也可选择上市公司公告的其他表决方式。网络投票由交易部执行；现场表决由公司授权人员执行，必要时由权益研究部配合。以上表决事项应当通过公司“股东大会、债权人大会投票审批流程”履行审批，经组合投资人员提议、</w:t>
      </w:r>
      <w:r>
        <w:rPr>
          <w:rFonts w:ascii="宋体" w:eastAsia="宋体" w:hAnsi="宋体" w:hint="eastAsia"/>
          <w:sz w:val="28"/>
          <w:szCs w:val="28"/>
          <w:lang w:eastAsia="zh-CN"/>
        </w:rPr>
        <w:t>投</w:t>
      </w:r>
      <w:proofErr w:type="gramStart"/>
      <w:r>
        <w:rPr>
          <w:rFonts w:ascii="宋体" w:eastAsia="宋体" w:hAnsi="宋体" w:hint="eastAsia"/>
          <w:sz w:val="28"/>
          <w:szCs w:val="28"/>
          <w:lang w:eastAsia="zh-CN"/>
        </w:rPr>
        <w:t>研</w:t>
      </w:r>
      <w:proofErr w:type="gramEnd"/>
      <w:r>
        <w:rPr>
          <w:rFonts w:ascii="宋体" w:eastAsia="宋体" w:hAnsi="宋体"/>
          <w:sz w:val="28"/>
          <w:szCs w:val="28"/>
          <w:lang w:eastAsia="zh-CN"/>
        </w:rPr>
        <w:t>分管副总、风控、合</w:t>
      </w:r>
      <w:proofErr w:type="gramStart"/>
      <w:r>
        <w:rPr>
          <w:rFonts w:ascii="宋体" w:eastAsia="宋体" w:hAnsi="宋体"/>
          <w:sz w:val="28"/>
          <w:szCs w:val="28"/>
          <w:lang w:eastAsia="zh-CN"/>
        </w:rPr>
        <w:t>规</w:t>
      </w:r>
      <w:proofErr w:type="gramEnd"/>
      <w:r>
        <w:rPr>
          <w:rFonts w:ascii="宋体" w:eastAsia="宋体" w:hAnsi="宋体"/>
          <w:sz w:val="28"/>
          <w:szCs w:val="28"/>
          <w:lang w:eastAsia="zh-CN"/>
        </w:rPr>
        <w:t>、督察长、总经理审批后执行。</w:t>
      </w:r>
    </w:p>
    <w:p w14:paraId="629240CA" w14:textId="77777777" w:rsidR="00BE51FC" w:rsidRDefault="00BE51FC">
      <w:pPr>
        <w:spacing w:after="100" w:line="288" w:lineRule="auto"/>
        <w:jc w:val="both"/>
        <w:rPr>
          <w:rFonts w:ascii="宋体" w:eastAsia="宋体" w:hAnsi="宋体" w:hint="eastAsia"/>
          <w:sz w:val="28"/>
          <w:szCs w:val="28"/>
          <w:lang w:eastAsia="zh-CN"/>
        </w:rPr>
      </w:pPr>
    </w:p>
    <w:p w14:paraId="1FCC6D89" w14:textId="735B29DF"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第十六条 </w:t>
      </w:r>
      <w:r>
        <w:rPr>
          <w:rFonts w:ascii="宋体" w:eastAsia="宋体" w:hAnsi="宋体"/>
          <w:sz w:val="28"/>
          <w:szCs w:val="28"/>
          <w:lang w:eastAsia="zh-CN"/>
        </w:rPr>
        <w:t>对于临时提案、重大突发事件、表决期限紧急、上市公司治理事项发生重大变化等特殊情形，公司可以启动临时审批机制，由权益研究部、投资人员、合</w:t>
      </w:r>
      <w:proofErr w:type="gramStart"/>
      <w:r>
        <w:rPr>
          <w:rFonts w:ascii="宋体" w:eastAsia="宋体" w:hAnsi="宋体"/>
          <w:sz w:val="28"/>
          <w:szCs w:val="28"/>
          <w:lang w:eastAsia="zh-CN"/>
        </w:rPr>
        <w:t>规风控部快速</w:t>
      </w:r>
      <w:proofErr w:type="gramEnd"/>
      <w:r>
        <w:rPr>
          <w:rFonts w:ascii="宋体" w:eastAsia="宋体" w:hAnsi="宋体"/>
          <w:sz w:val="28"/>
          <w:szCs w:val="28"/>
          <w:lang w:eastAsia="zh-CN"/>
        </w:rPr>
        <w:t>会商并报</w:t>
      </w:r>
      <w:r w:rsidR="0059155A">
        <w:rPr>
          <w:rFonts w:ascii="宋体" w:eastAsia="宋体" w:hAnsi="宋体" w:hint="eastAsia"/>
          <w:sz w:val="28"/>
          <w:szCs w:val="28"/>
          <w:lang w:eastAsia="zh-CN"/>
        </w:rPr>
        <w:t>风险管理委员会</w:t>
      </w:r>
      <w:r>
        <w:rPr>
          <w:rFonts w:ascii="宋体" w:eastAsia="宋体" w:hAnsi="宋体"/>
          <w:sz w:val="28"/>
          <w:szCs w:val="28"/>
          <w:lang w:eastAsia="zh-CN"/>
        </w:rPr>
        <w:t>决定，事后补充完整审批及留痕资料。</w:t>
      </w:r>
    </w:p>
    <w:p w14:paraId="66923435" w14:textId="77777777" w:rsidR="00BE51FC" w:rsidRDefault="00BE51FC">
      <w:pPr>
        <w:spacing w:after="100" w:line="288" w:lineRule="auto"/>
        <w:jc w:val="both"/>
        <w:rPr>
          <w:rFonts w:ascii="宋体" w:eastAsia="宋体" w:hAnsi="宋体" w:hint="eastAsia"/>
          <w:sz w:val="28"/>
          <w:szCs w:val="28"/>
          <w:lang w:eastAsia="zh-CN"/>
        </w:rPr>
      </w:pPr>
    </w:p>
    <w:p w14:paraId="1EA866BF" w14:textId="77777777" w:rsidR="00BE51FC" w:rsidRDefault="00000000">
      <w:pPr>
        <w:pStyle w:val="1"/>
        <w:spacing w:before="200" w:after="120"/>
        <w:jc w:val="center"/>
        <w:rPr>
          <w:rFonts w:ascii="宋体" w:eastAsia="宋体" w:hAnsi="宋体" w:hint="eastAsia"/>
          <w:color w:val="auto"/>
          <w:lang w:eastAsia="zh-CN"/>
        </w:rPr>
      </w:pPr>
      <w:r>
        <w:rPr>
          <w:rFonts w:ascii="宋体" w:eastAsia="宋体" w:hAnsi="宋体"/>
          <w:color w:val="auto"/>
          <w:lang w:eastAsia="zh-CN"/>
        </w:rPr>
        <w:t>第四章 参与债权人大会就重大事项进行表决的管理</w:t>
      </w:r>
    </w:p>
    <w:p w14:paraId="5A959073" w14:textId="77777777" w:rsidR="00BE51FC" w:rsidRDefault="00BE51FC">
      <w:pPr>
        <w:spacing w:after="40" w:line="324" w:lineRule="auto"/>
        <w:jc w:val="both"/>
        <w:rPr>
          <w:rFonts w:ascii="宋体" w:eastAsia="宋体" w:hAnsi="宋体" w:hint="eastAsia"/>
          <w:sz w:val="28"/>
          <w:szCs w:val="28"/>
          <w:lang w:eastAsia="zh-CN"/>
        </w:rPr>
      </w:pPr>
    </w:p>
    <w:p w14:paraId="1E1EB637"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第十七条 </w:t>
      </w:r>
      <w:r>
        <w:rPr>
          <w:rFonts w:ascii="宋体" w:eastAsia="宋体" w:hAnsi="宋体"/>
          <w:sz w:val="28"/>
          <w:szCs w:val="28"/>
          <w:lang w:eastAsia="zh-CN"/>
        </w:rPr>
        <w:t>本制度所称债权人大会，是指公司授权相关人员参加组合所投资债券的债券持有人会议或者其他依法召集的债权人会议，代理行使公司旗下组合的债权人权利。债权人大会重大事项包括但不限于：</w:t>
      </w:r>
    </w:p>
    <w:p w14:paraId="1B412005"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（一）公司的分立、合并、解散和清算；</w:t>
      </w:r>
    </w:p>
    <w:p w14:paraId="2C761099"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（二）涉及债权人利益的公司章程修改；</w:t>
      </w:r>
    </w:p>
    <w:p w14:paraId="48677A93"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（三）公司在一年内购买、出售重大资产或者担保金额超过公司最近一期经审计总资产30%的；</w:t>
      </w:r>
    </w:p>
    <w:p w14:paraId="44D62DB2"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lastRenderedPageBreak/>
        <w:t>（四）重大债务承担、免除；</w:t>
      </w:r>
    </w:p>
    <w:p w14:paraId="67A3ECC3"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（五）涉及公司经营发展以及债券持有人权益的其他重大事项。</w:t>
      </w:r>
    </w:p>
    <w:p w14:paraId="16BEF2A6" w14:textId="77777777" w:rsidR="00BE51FC" w:rsidRDefault="00BE51FC">
      <w:pPr>
        <w:spacing w:after="100" w:line="288" w:lineRule="auto"/>
        <w:jc w:val="both"/>
        <w:rPr>
          <w:rFonts w:ascii="宋体" w:eastAsia="宋体" w:hAnsi="宋体" w:hint="eastAsia"/>
          <w:sz w:val="28"/>
          <w:szCs w:val="28"/>
          <w:lang w:eastAsia="zh-CN"/>
        </w:rPr>
      </w:pPr>
    </w:p>
    <w:p w14:paraId="366F7CCF" w14:textId="60FC809D"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第十八条 </w:t>
      </w:r>
      <w:r>
        <w:rPr>
          <w:rFonts w:ascii="宋体" w:eastAsia="宋体" w:hAnsi="宋体"/>
          <w:sz w:val="28"/>
          <w:szCs w:val="28"/>
          <w:lang w:eastAsia="zh-CN"/>
        </w:rPr>
        <w:t>公司参与债权人大会表决，应当遵循基金份额持有人利益优先、专业独立判断、不谋求控制、防范利益冲突和守法合</w:t>
      </w:r>
      <w:proofErr w:type="gramStart"/>
      <w:r>
        <w:rPr>
          <w:rFonts w:ascii="宋体" w:eastAsia="宋体" w:hAnsi="宋体"/>
          <w:sz w:val="28"/>
          <w:szCs w:val="28"/>
          <w:lang w:eastAsia="zh-CN"/>
        </w:rPr>
        <w:t>规</w:t>
      </w:r>
      <w:proofErr w:type="gramEnd"/>
      <w:r>
        <w:rPr>
          <w:rFonts w:ascii="宋体" w:eastAsia="宋体" w:hAnsi="宋体"/>
          <w:sz w:val="28"/>
          <w:szCs w:val="28"/>
          <w:lang w:eastAsia="zh-CN"/>
        </w:rPr>
        <w:t>原则，积极、审慎行使债权人权利。相关投资组合</w:t>
      </w:r>
      <w:r w:rsidR="0059155A">
        <w:rPr>
          <w:rFonts w:ascii="宋体" w:eastAsia="宋体" w:hAnsi="宋体" w:hint="eastAsia"/>
          <w:sz w:val="28"/>
          <w:szCs w:val="28"/>
          <w:lang w:eastAsia="zh-CN"/>
        </w:rPr>
        <w:t>原则上均应</w:t>
      </w:r>
      <w:r>
        <w:rPr>
          <w:rFonts w:ascii="宋体" w:eastAsia="宋体" w:hAnsi="宋体"/>
          <w:sz w:val="28"/>
          <w:szCs w:val="28"/>
          <w:lang w:eastAsia="zh-CN"/>
        </w:rPr>
        <w:t>参加表决</w:t>
      </w:r>
      <w:r w:rsidR="0059155A">
        <w:rPr>
          <w:rFonts w:ascii="宋体" w:eastAsia="宋体" w:hAnsi="宋体" w:hint="eastAsia"/>
          <w:sz w:val="28"/>
          <w:szCs w:val="28"/>
          <w:lang w:eastAsia="zh-CN"/>
        </w:rPr>
        <w:t>，因特殊情况无法参加表决</w:t>
      </w:r>
      <w:r>
        <w:rPr>
          <w:rFonts w:ascii="宋体" w:eastAsia="宋体" w:hAnsi="宋体"/>
          <w:sz w:val="28"/>
          <w:szCs w:val="28"/>
          <w:lang w:eastAsia="zh-CN"/>
        </w:rPr>
        <w:t>的，</w:t>
      </w:r>
      <w:r w:rsidR="0059155A">
        <w:rPr>
          <w:rFonts w:ascii="宋体" w:eastAsia="宋体" w:hAnsi="宋体" w:hint="eastAsia"/>
          <w:sz w:val="28"/>
          <w:szCs w:val="28"/>
          <w:lang w:eastAsia="zh-CN"/>
        </w:rPr>
        <w:t>投资人员</w:t>
      </w:r>
      <w:r>
        <w:rPr>
          <w:rFonts w:ascii="宋体" w:eastAsia="宋体" w:hAnsi="宋体"/>
          <w:sz w:val="28"/>
          <w:szCs w:val="28"/>
          <w:lang w:eastAsia="zh-CN"/>
        </w:rPr>
        <w:t>应当</w:t>
      </w:r>
      <w:r w:rsidR="0059155A">
        <w:rPr>
          <w:rFonts w:ascii="宋体" w:eastAsia="宋体" w:hAnsi="宋体" w:hint="eastAsia"/>
          <w:sz w:val="28"/>
          <w:szCs w:val="28"/>
          <w:lang w:eastAsia="zh-CN"/>
        </w:rPr>
        <w:t>向</w:t>
      </w:r>
      <w:r w:rsidR="004037F1">
        <w:rPr>
          <w:rFonts w:ascii="宋体" w:eastAsia="宋体" w:hAnsi="宋体" w:hint="eastAsia"/>
          <w:sz w:val="28"/>
          <w:szCs w:val="28"/>
          <w:lang w:eastAsia="zh-CN"/>
        </w:rPr>
        <w:t>投资决策委员</w:t>
      </w:r>
      <w:r w:rsidR="0059155A">
        <w:rPr>
          <w:rFonts w:ascii="宋体" w:eastAsia="宋体" w:hAnsi="宋体" w:hint="eastAsia"/>
          <w:sz w:val="28"/>
          <w:szCs w:val="28"/>
          <w:lang w:eastAsia="zh-CN"/>
        </w:rPr>
        <w:t>会</w:t>
      </w:r>
      <w:r>
        <w:rPr>
          <w:rFonts w:ascii="宋体" w:eastAsia="宋体" w:hAnsi="宋体"/>
          <w:sz w:val="28"/>
          <w:szCs w:val="28"/>
          <w:lang w:eastAsia="zh-CN"/>
        </w:rPr>
        <w:t>书面说明原因并</w:t>
      </w:r>
      <w:r w:rsidR="0059155A">
        <w:rPr>
          <w:rFonts w:ascii="宋体" w:eastAsia="宋体" w:hAnsi="宋体" w:hint="eastAsia"/>
          <w:sz w:val="28"/>
          <w:szCs w:val="28"/>
          <w:lang w:eastAsia="zh-CN"/>
        </w:rPr>
        <w:t>由</w:t>
      </w:r>
      <w:r w:rsidR="004037F1">
        <w:rPr>
          <w:rFonts w:ascii="宋体" w:eastAsia="宋体" w:hAnsi="宋体" w:hint="eastAsia"/>
          <w:sz w:val="28"/>
          <w:szCs w:val="28"/>
          <w:lang w:eastAsia="zh-CN"/>
        </w:rPr>
        <w:t>投资决策委员</w:t>
      </w:r>
      <w:r w:rsidR="0059155A">
        <w:rPr>
          <w:rFonts w:ascii="宋体" w:eastAsia="宋体" w:hAnsi="宋体" w:hint="eastAsia"/>
          <w:sz w:val="28"/>
          <w:szCs w:val="28"/>
          <w:lang w:eastAsia="zh-CN"/>
        </w:rPr>
        <w:t>会审议</w:t>
      </w:r>
      <w:r>
        <w:rPr>
          <w:rFonts w:ascii="宋体" w:eastAsia="宋体" w:hAnsi="宋体"/>
          <w:sz w:val="28"/>
          <w:szCs w:val="28"/>
          <w:lang w:eastAsia="zh-CN"/>
        </w:rPr>
        <w:t>。</w:t>
      </w:r>
    </w:p>
    <w:p w14:paraId="6E13D502" w14:textId="77777777" w:rsidR="00BE51FC" w:rsidRDefault="00BE51FC">
      <w:pPr>
        <w:spacing w:after="100" w:line="288" w:lineRule="auto"/>
        <w:jc w:val="both"/>
        <w:rPr>
          <w:rFonts w:ascii="宋体" w:eastAsia="宋体" w:hAnsi="宋体" w:hint="eastAsia"/>
          <w:sz w:val="28"/>
          <w:szCs w:val="28"/>
          <w:lang w:eastAsia="zh-CN"/>
        </w:rPr>
      </w:pPr>
    </w:p>
    <w:p w14:paraId="09DF9655"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第十九条 </w:t>
      </w:r>
      <w:r>
        <w:rPr>
          <w:rFonts w:ascii="宋体" w:eastAsia="宋体" w:hAnsi="宋体"/>
          <w:sz w:val="28"/>
          <w:szCs w:val="28"/>
          <w:lang w:eastAsia="zh-CN"/>
        </w:rPr>
        <w:t>固定收益研究部应当通过定期或不定期邮件、公告及投票平台等方式关注并搜集债权人大会通知和相关资料，根据市场环境、行业和公司情况变化分析拟表决事项对组合持有人利益的影响，可对参加债权人大会表决提出初步意见，并提示相关投资人员给出表决意见，由投资人员填写审批表递交审批。</w:t>
      </w:r>
    </w:p>
    <w:p w14:paraId="6196DDDE" w14:textId="77777777" w:rsidR="00BE51FC" w:rsidRDefault="00BE51FC">
      <w:pPr>
        <w:spacing w:after="100" w:line="288" w:lineRule="auto"/>
        <w:jc w:val="both"/>
        <w:rPr>
          <w:rFonts w:ascii="宋体" w:eastAsia="宋体" w:hAnsi="宋体" w:hint="eastAsia"/>
          <w:sz w:val="28"/>
          <w:szCs w:val="28"/>
          <w:lang w:eastAsia="zh-CN"/>
        </w:rPr>
      </w:pPr>
    </w:p>
    <w:p w14:paraId="73CA872E" w14:textId="57D38B6F"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第二十条 </w:t>
      </w:r>
      <w:r>
        <w:rPr>
          <w:rFonts w:ascii="宋体" w:eastAsia="宋体" w:hAnsi="宋体"/>
          <w:sz w:val="28"/>
          <w:szCs w:val="28"/>
          <w:lang w:eastAsia="zh-CN"/>
        </w:rPr>
        <w:t>多只组合同时持有同一发行人发行的债券，需要授权相关人员参加债权人大会行使债券持有人表决权的，应当分别从各组合持有人利益出发形成意见。相关投资人员应当对投票事项签字确认；若有异议，应当书面留痕。表决意见存在分歧的，经投资决策委员会确认后，被授权人应当按照审批结论行使权利，不得转委托他人。</w:t>
      </w:r>
    </w:p>
    <w:p w14:paraId="3BB0E161" w14:textId="77777777" w:rsidR="00BE51FC" w:rsidRDefault="00BE51FC">
      <w:pPr>
        <w:spacing w:after="100" w:line="288" w:lineRule="auto"/>
        <w:jc w:val="both"/>
        <w:rPr>
          <w:rFonts w:ascii="宋体" w:eastAsia="宋体" w:hAnsi="宋体" w:hint="eastAsia"/>
          <w:sz w:val="28"/>
          <w:szCs w:val="28"/>
          <w:lang w:eastAsia="zh-CN"/>
        </w:rPr>
      </w:pPr>
    </w:p>
    <w:p w14:paraId="0BC30ED9"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第二十一条 </w:t>
      </w:r>
      <w:r>
        <w:rPr>
          <w:rFonts w:ascii="宋体" w:eastAsia="宋体" w:hAnsi="宋体"/>
          <w:sz w:val="28"/>
          <w:szCs w:val="28"/>
          <w:lang w:eastAsia="zh-CN"/>
        </w:rPr>
        <w:t>债权人大会表决原则上选择网络投票；根据需要，也可选择发行人公告的其他表决方式。网络投票由交易部执行；现场表决由公司授权人员执行。以上表决事项应当通过公司“股东大会、债权人大会投票审批流程”履行审批，经组合投资人员提议、研究分管副总、风控、合</w:t>
      </w:r>
      <w:proofErr w:type="gramStart"/>
      <w:r>
        <w:rPr>
          <w:rFonts w:ascii="宋体" w:eastAsia="宋体" w:hAnsi="宋体"/>
          <w:sz w:val="28"/>
          <w:szCs w:val="28"/>
          <w:lang w:eastAsia="zh-CN"/>
        </w:rPr>
        <w:t>规</w:t>
      </w:r>
      <w:proofErr w:type="gramEnd"/>
      <w:r>
        <w:rPr>
          <w:rFonts w:ascii="宋体" w:eastAsia="宋体" w:hAnsi="宋体"/>
          <w:sz w:val="28"/>
          <w:szCs w:val="28"/>
          <w:lang w:eastAsia="zh-CN"/>
        </w:rPr>
        <w:t>、督察长、总经理审批后执行。</w:t>
      </w:r>
    </w:p>
    <w:p w14:paraId="551D4EAE" w14:textId="77777777" w:rsidR="00BE51FC" w:rsidRDefault="00BE51FC">
      <w:pPr>
        <w:spacing w:after="100" w:line="288" w:lineRule="auto"/>
        <w:jc w:val="both"/>
        <w:rPr>
          <w:rFonts w:ascii="宋体" w:eastAsia="宋体" w:hAnsi="宋体" w:hint="eastAsia"/>
          <w:sz w:val="28"/>
          <w:szCs w:val="28"/>
          <w:lang w:eastAsia="zh-CN"/>
        </w:rPr>
      </w:pPr>
    </w:p>
    <w:p w14:paraId="60605DB9" w14:textId="77777777" w:rsidR="00BE51FC" w:rsidRDefault="00000000">
      <w:pPr>
        <w:pStyle w:val="1"/>
        <w:spacing w:before="200" w:after="120"/>
        <w:jc w:val="center"/>
        <w:rPr>
          <w:rFonts w:ascii="宋体" w:eastAsia="宋体" w:hAnsi="宋体" w:hint="eastAsia"/>
          <w:color w:val="auto"/>
          <w:lang w:eastAsia="zh-CN"/>
        </w:rPr>
      </w:pPr>
      <w:r>
        <w:rPr>
          <w:rFonts w:ascii="宋体" w:eastAsia="宋体" w:hAnsi="宋体"/>
          <w:color w:val="auto"/>
          <w:lang w:eastAsia="zh-CN"/>
        </w:rPr>
        <w:lastRenderedPageBreak/>
        <w:t>第五章 内部控制、档案保存和信息披露</w:t>
      </w:r>
    </w:p>
    <w:p w14:paraId="0D99256A" w14:textId="77777777" w:rsidR="00BE51FC" w:rsidRDefault="00BE51FC">
      <w:pPr>
        <w:spacing w:after="40" w:line="324" w:lineRule="auto"/>
        <w:jc w:val="both"/>
        <w:rPr>
          <w:rFonts w:ascii="宋体" w:eastAsia="宋体" w:hAnsi="宋体" w:hint="eastAsia"/>
          <w:sz w:val="28"/>
          <w:szCs w:val="28"/>
          <w:lang w:eastAsia="zh-CN"/>
        </w:rPr>
      </w:pPr>
    </w:p>
    <w:p w14:paraId="34880C28"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第二十二条 </w:t>
      </w:r>
      <w:r>
        <w:rPr>
          <w:rFonts w:ascii="宋体" w:eastAsia="宋体" w:hAnsi="宋体"/>
          <w:sz w:val="28"/>
          <w:szCs w:val="28"/>
          <w:lang w:eastAsia="zh-CN"/>
        </w:rPr>
        <w:t>公司应当建立健全参与上市公司治理的内部组织架构与内部控制制度，防范利益冲突及内幕交易风险。对参与上市公司治理有关情况，相关部门应当定期评估；合</w:t>
      </w:r>
      <w:proofErr w:type="gramStart"/>
      <w:r>
        <w:rPr>
          <w:rFonts w:ascii="宋体" w:eastAsia="宋体" w:hAnsi="宋体"/>
          <w:sz w:val="28"/>
          <w:szCs w:val="28"/>
          <w:lang w:eastAsia="zh-CN"/>
        </w:rPr>
        <w:t>规风控部</w:t>
      </w:r>
      <w:proofErr w:type="gramEnd"/>
      <w:r>
        <w:rPr>
          <w:rFonts w:ascii="宋体" w:eastAsia="宋体" w:hAnsi="宋体"/>
          <w:sz w:val="28"/>
          <w:szCs w:val="28"/>
          <w:lang w:eastAsia="zh-CN"/>
        </w:rPr>
        <w:t>应当对表决事项的履行情况实施检查。</w:t>
      </w:r>
    </w:p>
    <w:p w14:paraId="62473B1D" w14:textId="77777777" w:rsidR="00BE51FC" w:rsidRDefault="00BE51FC">
      <w:pPr>
        <w:spacing w:after="100" w:line="288" w:lineRule="auto"/>
        <w:jc w:val="both"/>
        <w:rPr>
          <w:rFonts w:ascii="宋体" w:eastAsia="宋体" w:hAnsi="宋体" w:hint="eastAsia"/>
          <w:sz w:val="28"/>
          <w:szCs w:val="28"/>
          <w:lang w:eastAsia="zh-CN"/>
        </w:rPr>
      </w:pPr>
    </w:p>
    <w:p w14:paraId="61B3A68B"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第二十三条 </w:t>
      </w:r>
      <w:r>
        <w:rPr>
          <w:rFonts w:ascii="宋体" w:eastAsia="宋体" w:hAnsi="宋体"/>
          <w:sz w:val="28"/>
          <w:szCs w:val="28"/>
          <w:lang w:eastAsia="zh-CN"/>
        </w:rPr>
        <w:t>公司参与上市公司治理应当建立明确的利益冲突判断原则、认定标准、处理程序和监督机制。对存在利益关系的上市公司或发行人行使股东权利或者表决权时，应当履行相应处理程序，</w:t>
      </w:r>
      <w:proofErr w:type="gramStart"/>
      <w:r>
        <w:rPr>
          <w:rFonts w:ascii="宋体" w:eastAsia="宋体" w:hAnsi="宋体"/>
          <w:sz w:val="28"/>
          <w:szCs w:val="28"/>
          <w:lang w:eastAsia="zh-CN"/>
        </w:rPr>
        <w:t>作出</w:t>
      </w:r>
      <w:proofErr w:type="gramEnd"/>
      <w:r>
        <w:rPr>
          <w:rFonts w:ascii="宋体" w:eastAsia="宋体" w:hAnsi="宋体"/>
          <w:sz w:val="28"/>
          <w:szCs w:val="28"/>
          <w:lang w:eastAsia="zh-CN"/>
        </w:rPr>
        <w:t>独立客观决定，不得为上市公司、发行人或者他人利益</w:t>
      </w:r>
      <w:proofErr w:type="gramStart"/>
      <w:r>
        <w:rPr>
          <w:rFonts w:ascii="宋体" w:eastAsia="宋体" w:hAnsi="宋体"/>
          <w:sz w:val="28"/>
          <w:szCs w:val="28"/>
          <w:lang w:eastAsia="zh-CN"/>
        </w:rPr>
        <w:t>作出</w:t>
      </w:r>
      <w:proofErr w:type="gramEnd"/>
      <w:r>
        <w:rPr>
          <w:rFonts w:ascii="宋体" w:eastAsia="宋体" w:hAnsi="宋体"/>
          <w:sz w:val="28"/>
          <w:szCs w:val="28"/>
          <w:lang w:eastAsia="zh-CN"/>
        </w:rPr>
        <w:t>任何违反受托义务、损害基金份额持有人利益的行为。参与上市公司治理相关工作人员及其直系亲属、利害关系人与上市公司或发行人存在利益关系的，应当主动报告并采取回避措施，不得执行与该事项相关的工作。</w:t>
      </w:r>
    </w:p>
    <w:p w14:paraId="440908A0" w14:textId="77777777" w:rsidR="00BE51FC" w:rsidRDefault="00BE51FC">
      <w:pPr>
        <w:spacing w:after="100" w:line="288" w:lineRule="auto"/>
        <w:jc w:val="both"/>
        <w:rPr>
          <w:rFonts w:ascii="宋体" w:eastAsia="宋体" w:hAnsi="宋体" w:hint="eastAsia"/>
          <w:sz w:val="28"/>
          <w:szCs w:val="28"/>
          <w:lang w:eastAsia="zh-CN"/>
        </w:rPr>
      </w:pPr>
    </w:p>
    <w:p w14:paraId="299CABB5"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第二十四条 </w:t>
      </w:r>
      <w:r>
        <w:rPr>
          <w:rFonts w:ascii="宋体" w:eastAsia="宋体" w:hAnsi="宋体"/>
          <w:sz w:val="28"/>
          <w:szCs w:val="28"/>
          <w:lang w:eastAsia="zh-CN"/>
        </w:rPr>
        <w:t>前条所称利益关系，包括但不限于：</w:t>
      </w:r>
    </w:p>
    <w:p w14:paraId="7A740076"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（一）上市公司持有公司股权，或者上市公司为公司的实际控制人，或者上市公司与公司实际控制人为相同主体；</w:t>
      </w:r>
    </w:p>
    <w:p w14:paraId="4F42BA88"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（二）参与上市公司治理相关工作人员的直系亲属、利害关系人在上市公司担任董事、高级管理人员；</w:t>
      </w:r>
    </w:p>
    <w:p w14:paraId="4DFAE36C"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（三）参与上市公司治理相关工作人员及其直系亲属、利害关系人持有上市公司及其实际控制人、控股股东、控股子公司的股份；</w:t>
      </w:r>
    </w:p>
    <w:p w14:paraId="2CF39548" w14:textId="77777777" w:rsidR="00BE51FC" w:rsidRDefault="00000000">
      <w:pPr>
        <w:spacing w:after="20" w:line="312" w:lineRule="auto"/>
        <w:ind w:left="397"/>
        <w:jc w:val="both"/>
        <w:rPr>
          <w:rFonts w:ascii="宋体" w:eastAsia="宋体" w:hAnsi="宋体" w:hint="eastAsia"/>
          <w:sz w:val="28"/>
          <w:szCs w:val="28"/>
          <w:lang w:eastAsia="zh-CN"/>
        </w:rPr>
      </w:pPr>
      <w:r>
        <w:rPr>
          <w:rFonts w:ascii="宋体" w:eastAsia="宋体" w:hAnsi="宋体"/>
          <w:sz w:val="28"/>
          <w:szCs w:val="28"/>
          <w:lang w:eastAsia="zh-CN"/>
        </w:rPr>
        <w:t>（四）按照公司关联交易、利益冲突管理相关制度识别的其他可能影响独立判断的情形。债权人大会表决过程中对重大利益关系的识别，可参照本条执行。</w:t>
      </w:r>
    </w:p>
    <w:p w14:paraId="17B2A5FA" w14:textId="77777777" w:rsidR="00BE51FC" w:rsidRDefault="00BE51FC">
      <w:pPr>
        <w:spacing w:after="100" w:line="288" w:lineRule="auto"/>
        <w:jc w:val="both"/>
        <w:rPr>
          <w:rFonts w:ascii="宋体" w:eastAsia="宋体" w:hAnsi="宋体" w:hint="eastAsia"/>
          <w:sz w:val="28"/>
          <w:szCs w:val="28"/>
          <w:lang w:eastAsia="zh-CN"/>
        </w:rPr>
      </w:pPr>
    </w:p>
    <w:p w14:paraId="3B9631DA"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第二十五条 </w:t>
      </w:r>
      <w:r>
        <w:rPr>
          <w:rFonts w:ascii="宋体" w:eastAsia="宋体" w:hAnsi="宋体"/>
          <w:sz w:val="28"/>
          <w:szCs w:val="28"/>
          <w:lang w:eastAsia="zh-CN"/>
        </w:rPr>
        <w:t>公司应当对参与上市公司治理过程中接触的信息进行识别。涉及内幕信息或者可能构成内幕信息的，应当按照公司内幕交易防控和内</w:t>
      </w:r>
      <w:r>
        <w:rPr>
          <w:rFonts w:ascii="宋体" w:eastAsia="宋体" w:hAnsi="宋体"/>
          <w:sz w:val="28"/>
          <w:szCs w:val="28"/>
          <w:lang w:eastAsia="zh-CN"/>
        </w:rPr>
        <w:lastRenderedPageBreak/>
        <w:t>幕信息知情人管理相关制度进行报告、登记、隔离、使用和处置，并纳入公司内幕交易防控体系。</w:t>
      </w:r>
    </w:p>
    <w:p w14:paraId="0C033D5C" w14:textId="77777777" w:rsidR="00BE51FC" w:rsidRDefault="00BE51FC">
      <w:pPr>
        <w:spacing w:after="100" w:line="288" w:lineRule="auto"/>
        <w:jc w:val="both"/>
        <w:rPr>
          <w:rFonts w:ascii="宋体" w:eastAsia="宋体" w:hAnsi="宋体" w:hint="eastAsia"/>
          <w:sz w:val="28"/>
          <w:szCs w:val="28"/>
          <w:lang w:eastAsia="zh-CN"/>
        </w:rPr>
      </w:pPr>
    </w:p>
    <w:p w14:paraId="735598A2"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第二十六条 </w:t>
      </w:r>
      <w:r>
        <w:rPr>
          <w:rFonts w:ascii="宋体" w:eastAsia="宋体" w:hAnsi="宋体"/>
          <w:sz w:val="28"/>
          <w:szCs w:val="28"/>
          <w:lang w:eastAsia="zh-CN"/>
        </w:rPr>
        <w:t>公司应当采取适当监督措施，防范相关工作人员在参与上市公司治理、股东大会表决和债权人大会表决过程中利用职务之便谋取不当利益；同时，应当将相关事项纳入公司现有舆情及声誉风险管理机制，及时监测、识别和应对相关风险。</w:t>
      </w:r>
    </w:p>
    <w:p w14:paraId="35CD711E" w14:textId="77777777" w:rsidR="00BE51FC" w:rsidRDefault="00BE51FC">
      <w:pPr>
        <w:spacing w:after="100" w:line="288" w:lineRule="auto"/>
        <w:jc w:val="both"/>
        <w:rPr>
          <w:rFonts w:ascii="宋体" w:eastAsia="宋体" w:hAnsi="宋体" w:hint="eastAsia"/>
          <w:sz w:val="28"/>
          <w:szCs w:val="28"/>
          <w:lang w:eastAsia="zh-CN"/>
        </w:rPr>
      </w:pPr>
    </w:p>
    <w:p w14:paraId="257965E4"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第二十七条 </w:t>
      </w:r>
      <w:r>
        <w:rPr>
          <w:rFonts w:ascii="宋体" w:eastAsia="宋体" w:hAnsi="宋体"/>
          <w:sz w:val="28"/>
          <w:szCs w:val="28"/>
          <w:lang w:eastAsia="zh-CN"/>
        </w:rPr>
        <w:t>公司应当对参与上市公司治理、股东大会表决和债权人大会表决过程中的利益冲突处理、授权文件、表决执行、质询建议、审批记录、披露材料及其他相关资料进行记录和存档，存档期限不少于五年。交易部或相关执行部门应当及时收集表决信息，每年年初整理上年度表决权行使的具体信息，并报合</w:t>
      </w:r>
      <w:proofErr w:type="gramStart"/>
      <w:r>
        <w:rPr>
          <w:rFonts w:ascii="宋体" w:eastAsia="宋体" w:hAnsi="宋体"/>
          <w:sz w:val="28"/>
          <w:szCs w:val="28"/>
          <w:lang w:eastAsia="zh-CN"/>
        </w:rPr>
        <w:t>规风控部</w:t>
      </w:r>
      <w:proofErr w:type="gramEnd"/>
      <w:r>
        <w:rPr>
          <w:rFonts w:ascii="宋体" w:eastAsia="宋体" w:hAnsi="宋体"/>
          <w:sz w:val="28"/>
          <w:szCs w:val="28"/>
          <w:lang w:eastAsia="zh-CN"/>
        </w:rPr>
        <w:t>备案。</w:t>
      </w:r>
    </w:p>
    <w:p w14:paraId="3D469513" w14:textId="77777777" w:rsidR="00BE51FC" w:rsidRDefault="00BE51FC">
      <w:pPr>
        <w:spacing w:after="100" w:line="288" w:lineRule="auto"/>
        <w:jc w:val="both"/>
        <w:rPr>
          <w:rFonts w:ascii="宋体" w:eastAsia="宋体" w:hAnsi="宋体" w:hint="eastAsia"/>
          <w:sz w:val="28"/>
          <w:szCs w:val="28"/>
          <w:lang w:eastAsia="zh-CN"/>
        </w:rPr>
      </w:pPr>
    </w:p>
    <w:p w14:paraId="57D1CB0C"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第二十八条 </w:t>
      </w:r>
      <w:r>
        <w:rPr>
          <w:rFonts w:ascii="宋体" w:eastAsia="宋体" w:hAnsi="宋体"/>
          <w:sz w:val="28"/>
          <w:szCs w:val="28"/>
          <w:lang w:eastAsia="zh-CN"/>
        </w:rPr>
        <w:t>合</w:t>
      </w:r>
      <w:proofErr w:type="gramStart"/>
      <w:r>
        <w:rPr>
          <w:rFonts w:ascii="宋体" w:eastAsia="宋体" w:hAnsi="宋体"/>
          <w:sz w:val="28"/>
          <w:szCs w:val="28"/>
          <w:lang w:eastAsia="zh-CN"/>
        </w:rPr>
        <w:t>规风控部</w:t>
      </w:r>
      <w:proofErr w:type="gramEnd"/>
      <w:r>
        <w:rPr>
          <w:rFonts w:ascii="宋体" w:eastAsia="宋体" w:hAnsi="宋体"/>
          <w:sz w:val="28"/>
          <w:szCs w:val="28"/>
          <w:lang w:eastAsia="zh-CN"/>
        </w:rPr>
        <w:t>应当至少每年组织开展一次参与上市公司治理自查工作，形成自查报告并存档备查。</w:t>
      </w:r>
    </w:p>
    <w:p w14:paraId="266780B3" w14:textId="77777777" w:rsidR="00BE51FC" w:rsidRDefault="00BE51FC">
      <w:pPr>
        <w:spacing w:after="100" w:line="288" w:lineRule="auto"/>
        <w:jc w:val="both"/>
        <w:rPr>
          <w:rFonts w:ascii="宋体" w:eastAsia="宋体" w:hAnsi="宋体" w:hint="eastAsia"/>
          <w:sz w:val="28"/>
          <w:szCs w:val="28"/>
          <w:lang w:eastAsia="zh-CN"/>
        </w:rPr>
      </w:pPr>
    </w:p>
    <w:p w14:paraId="6BC117BC"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 xml:space="preserve">第二十九条 </w:t>
      </w:r>
      <w:r>
        <w:rPr>
          <w:rFonts w:ascii="宋体" w:eastAsia="宋体" w:hAnsi="宋体"/>
          <w:sz w:val="28"/>
          <w:szCs w:val="28"/>
          <w:lang w:eastAsia="zh-CN"/>
        </w:rPr>
        <w:t>公司应当于每年四月底前，在官方网站披露上一完整年度代表基金行使表决权的情况。</w:t>
      </w:r>
    </w:p>
    <w:p w14:paraId="69B876CA" w14:textId="77777777" w:rsidR="00BE51FC" w:rsidRDefault="00BE51FC">
      <w:pPr>
        <w:spacing w:after="100" w:line="288" w:lineRule="auto"/>
        <w:jc w:val="both"/>
        <w:rPr>
          <w:rFonts w:ascii="宋体" w:eastAsia="宋体" w:hAnsi="宋体" w:hint="eastAsia"/>
          <w:sz w:val="28"/>
          <w:szCs w:val="28"/>
          <w:lang w:eastAsia="zh-CN"/>
        </w:rPr>
      </w:pPr>
    </w:p>
    <w:p w14:paraId="64B20802"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第三十条</w:t>
      </w:r>
      <w:r>
        <w:rPr>
          <w:rFonts w:ascii="宋体" w:eastAsia="宋体" w:hAnsi="宋体" w:hint="eastAsia"/>
          <w:b/>
          <w:sz w:val="28"/>
          <w:szCs w:val="28"/>
          <w:lang w:eastAsia="zh-CN"/>
        </w:rPr>
        <w:t xml:space="preserve"> </w:t>
      </w:r>
      <w:r>
        <w:rPr>
          <w:rFonts w:ascii="宋体" w:eastAsia="宋体" w:hAnsi="宋体"/>
          <w:sz w:val="28"/>
          <w:szCs w:val="28"/>
          <w:lang w:eastAsia="zh-CN"/>
        </w:rPr>
        <w:t>公司可根据实际情况，</w:t>
      </w:r>
      <w:r>
        <w:rPr>
          <w:rFonts w:ascii="宋体" w:eastAsia="宋体" w:hAnsi="宋体" w:hint="eastAsia"/>
          <w:sz w:val="28"/>
          <w:szCs w:val="28"/>
          <w:lang w:eastAsia="zh-CN"/>
        </w:rPr>
        <w:t>选择</w:t>
      </w:r>
      <w:r>
        <w:rPr>
          <w:rFonts w:ascii="宋体" w:eastAsia="宋体" w:hAnsi="宋体"/>
          <w:sz w:val="28"/>
          <w:szCs w:val="28"/>
          <w:lang w:eastAsia="zh-CN"/>
        </w:rPr>
        <w:t>在官方网站披露参与上市公司治理的总体政策、行使表决权的制度和流程。</w:t>
      </w:r>
    </w:p>
    <w:p w14:paraId="1CEA32C2" w14:textId="77777777" w:rsidR="00BE51FC" w:rsidRDefault="00BE51FC">
      <w:pPr>
        <w:spacing w:after="100" w:line="288" w:lineRule="auto"/>
        <w:jc w:val="both"/>
        <w:rPr>
          <w:rFonts w:ascii="宋体" w:eastAsia="宋体" w:hAnsi="宋体" w:hint="eastAsia"/>
          <w:sz w:val="28"/>
          <w:szCs w:val="28"/>
          <w:lang w:eastAsia="zh-CN"/>
        </w:rPr>
      </w:pPr>
    </w:p>
    <w:p w14:paraId="5FAA03E2" w14:textId="77777777"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第三十一条</w:t>
      </w:r>
      <w:r>
        <w:rPr>
          <w:rFonts w:ascii="宋体" w:eastAsia="宋体" w:hAnsi="宋体" w:hint="eastAsia"/>
          <w:b/>
          <w:sz w:val="28"/>
          <w:szCs w:val="28"/>
          <w:lang w:eastAsia="zh-CN"/>
        </w:rPr>
        <w:t xml:space="preserve"> </w:t>
      </w:r>
      <w:r>
        <w:rPr>
          <w:rFonts w:ascii="宋体" w:eastAsia="宋体" w:hAnsi="宋体"/>
          <w:sz w:val="28"/>
          <w:szCs w:val="28"/>
          <w:lang w:eastAsia="zh-CN"/>
        </w:rPr>
        <w:t>公司可根据实际情况，</w:t>
      </w:r>
      <w:r>
        <w:rPr>
          <w:rFonts w:ascii="宋体" w:eastAsia="宋体" w:hAnsi="宋体" w:hint="eastAsia"/>
          <w:sz w:val="28"/>
          <w:szCs w:val="28"/>
          <w:lang w:eastAsia="zh-CN"/>
        </w:rPr>
        <w:t>选择</w:t>
      </w:r>
      <w:r>
        <w:rPr>
          <w:rFonts w:ascii="宋体" w:eastAsia="宋体" w:hAnsi="宋体"/>
          <w:sz w:val="28"/>
          <w:szCs w:val="28"/>
          <w:lang w:eastAsia="zh-CN"/>
        </w:rPr>
        <w:t>在官方网站披露自身及其代表基金</w:t>
      </w:r>
      <w:proofErr w:type="gramStart"/>
      <w:r>
        <w:rPr>
          <w:rFonts w:ascii="宋体" w:eastAsia="宋体" w:hAnsi="宋体"/>
          <w:sz w:val="28"/>
          <w:szCs w:val="28"/>
          <w:lang w:eastAsia="zh-CN"/>
        </w:rPr>
        <w:t>践行</w:t>
      </w:r>
      <w:proofErr w:type="gramEnd"/>
      <w:r>
        <w:rPr>
          <w:rFonts w:ascii="宋体" w:eastAsia="宋体" w:hAnsi="宋体"/>
          <w:sz w:val="28"/>
          <w:szCs w:val="28"/>
          <w:lang w:eastAsia="zh-CN"/>
        </w:rPr>
        <w:t>环境保护、社会责任和参与上市公司治理的具体措施。</w:t>
      </w:r>
    </w:p>
    <w:p w14:paraId="1863D2EA" w14:textId="77777777" w:rsidR="00BE51FC" w:rsidRDefault="00BE51FC">
      <w:pPr>
        <w:spacing w:after="100" w:line="288" w:lineRule="auto"/>
        <w:jc w:val="both"/>
        <w:rPr>
          <w:rFonts w:ascii="宋体" w:eastAsia="宋体" w:hAnsi="宋体" w:hint="eastAsia"/>
          <w:sz w:val="28"/>
          <w:szCs w:val="28"/>
          <w:lang w:eastAsia="zh-CN"/>
        </w:rPr>
      </w:pPr>
    </w:p>
    <w:p w14:paraId="489F1E5E" w14:textId="77777777" w:rsidR="00BE51FC" w:rsidRDefault="00000000">
      <w:pPr>
        <w:pStyle w:val="1"/>
        <w:spacing w:before="200" w:after="120"/>
        <w:jc w:val="center"/>
        <w:rPr>
          <w:rFonts w:ascii="宋体" w:eastAsia="宋体" w:hAnsi="宋体" w:hint="eastAsia"/>
          <w:color w:val="auto"/>
          <w:lang w:eastAsia="zh-CN"/>
        </w:rPr>
      </w:pPr>
      <w:r>
        <w:rPr>
          <w:rFonts w:ascii="宋体" w:eastAsia="宋体" w:hAnsi="宋体"/>
          <w:color w:val="auto"/>
          <w:lang w:eastAsia="zh-CN"/>
        </w:rPr>
        <w:lastRenderedPageBreak/>
        <w:t>第六章 附则</w:t>
      </w:r>
    </w:p>
    <w:p w14:paraId="164EFE50" w14:textId="77777777" w:rsidR="00BE51FC" w:rsidRDefault="00BE51FC">
      <w:pPr>
        <w:spacing w:after="40" w:line="324" w:lineRule="auto"/>
        <w:jc w:val="both"/>
        <w:rPr>
          <w:rFonts w:ascii="宋体" w:eastAsia="宋体" w:hAnsi="宋体" w:hint="eastAsia"/>
          <w:b/>
          <w:sz w:val="28"/>
          <w:szCs w:val="28"/>
          <w:lang w:eastAsia="zh-CN"/>
        </w:rPr>
      </w:pPr>
    </w:p>
    <w:p w14:paraId="7FFFCF01" w14:textId="77777777" w:rsidR="00BE51FC" w:rsidRDefault="00BE51FC">
      <w:pPr>
        <w:spacing w:after="100" w:line="288" w:lineRule="auto"/>
        <w:jc w:val="both"/>
        <w:rPr>
          <w:rFonts w:ascii="宋体" w:eastAsia="宋体" w:hAnsi="宋体" w:hint="eastAsia"/>
          <w:sz w:val="28"/>
          <w:szCs w:val="28"/>
          <w:lang w:eastAsia="zh-CN"/>
        </w:rPr>
      </w:pPr>
    </w:p>
    <w:p w14:paraId="13B5602A" w14:textId="52DEE6B5"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第三十</w:t>
      </w:r>
      <w:r w:rsidR="008E1584">
        <w:rPr>
          <w:rFonts w:ascii="宋体" w:eastAsia="宋体" w:hAnsi="宋体" w:hint="eastAsia"/>
          <w:b/>
          <w:sz w:val="28"/>
          <w:szCs w:val="28"/>
          <w:lang w:eastAsia="zh-CN"/>
        </w:rPr>
        <w:t>二</w:t>
      </w:r>
      <w:r>
        <w:rPr>
          <w:rFonts w:ascii="宋体" w:eastAsia="宋体" w:hAnsi="宋体"/>
          <w:b/>
          <w:sz w:val="28"/>
          <w:szCs w:val="28"/>
          <w:lang w:eastAsia="zh-CN"/>
        </w:rPr>
        <w:t xml:space="preserve">条 </w:t>
      </w:r>
      <w:r>
        <w:rPr>
          <w:rFonts w:ascii="宋体" w:eastAsia="宋体" w:hAnsi="宋体"/>
          <w:sz w:val="28"/>
          <w:szCs w:val="28"/>
          <w:lang w:eastAsia="zh-CN"/>
        </w:rPr>
        <w:t>本制度由公司投资决策委员会负责解释和修订。公司将根据法律法规、自律规则及公司业务发展情况适时进行调整和完善；如</w:t>
      </w:r>
      <w:proofErr w:type="gramStart"/>
      <w:r>
        <w:rPr>
          <w:rFonts w:ascii="宋体" w:eastAsia="宋体" w:hAnsi="宋体"/>
          <w:sz w:val="28"/>
          <w:szCs w:val="28"/>
          <w:lang w:eastAsia="zh-CN"/>
        </w:rPr>
        <w:t>遇有关</w:t>
      </w:r>
      <w:proofErr w:type="gramEnd"/>
      <w:r>
        <w:rPr>
          <w:rFonts w:ascii="宋体" w:eastAsia="宋体" w:hAnsi="宋体"/>
          <w:sz w:val="28"/>
          <w:szCs w:val="28"/>
          <w:lang w:eastAsia="zh-CN"/>
        </w:rPr>
        <w:t>规定与本制度不一致的，按最新规定执行。</w:t>
      </w:r>
    </w:p>
    <w:p w14:paraId="3036D60B" w14:textId="77777777" w:rsidR="00BE51FC" w:rsidRDefault="00BE51FC">
      <w:pPr>
        <w:spacing w:after="100" w:line="288" w:lineRule="auto"/>
        <w:jc w:val="both"/>
        <w:rPr>
          <w:rFonts w:ascii="宋体" w:eastAsia="宋体" w:hAnsi="宋体" w:hint="eastAsia"/>
          <w:sz w:val="28"/>
          <w:szCs w:val="28"/>
          <w:lang w:eastAsia="zh-CN"/>
        </w:rPr>
      </w:pPr>
    </w:p>
    <w:p w14:paraId="42BE32F8" w14:textId="4C458F03" w:rsidR="00BE51FC" w:rsidRDefault="00000000">
      <w:pPr>
        <w:spacing w:after="40" w:line="324" w:lineRule="auto"/>
        <w:jc w:val="both"/>
        <w:rPr>
          <w:rFonts w:ascii="宋体" w:eastAsia="宋体" w:hAnsi="宋体" w:hint="eastAsia"/>
          <w:sz w:val="28"/>
          <w:szCs w:val="28"/>
          <w:lang w:eastAsia="zh-CN"/>
        </w:rPr>
      </w:pPr>
      <w:r>
        <w:rPr>
          <w:rFonts w:ascii="宋体" w:eastAsia="宋体" w:hAnsi="宋体"/>
          <w:b/>
          <w:sz w:val="28"/>
          <w:szCs w:val="28"/>
          <w:lang w:eastAsia="zh-CN"/>
        </w:rPr>
        <w:t>第三十</w:t>
      </w:r>
      <w:r w:rsidR="008E1584">
        <w:rPr>
          <w:rFonts w:ascii="宋体" w:eastAsia="宋体" w:hAnsi="宋体" w:hint="eastAsia"/>
          <w:b/>
          <w:sz w:val="28"/>
          <w:szCs w:val="28"/>
          <w:lang w:eastAsia="zh-CN"/>
        </w:rPr>
        <w:t>三</w:t>
      </w:r>
      <w:r>
        <w:rPr>
          <w:rFonts w:ascii="宋体" w:eastAsia="宋体" w:hAnsi="宋体"/>
          <w:b/>
          <w:sz w:val="28"/>
          <w:szCs w:val="28"/>
          <w:lang w:eastAsia="zh-CN"/>
        </w:rPr>
        <w:t xml:space="preserve">条 </w:t>
      </w:r>
      <w:r>
        <w:rPr>
          <w:rFonts w:ascii="宋体" w:eastAsia="宋体" w:hAnsi="宋体"/>
          <w:sz w:val="28"/>
          <w:szCs w:val="28"/>
          <w:lang w:eastAsia="zh-CN"/>
        </w:rPr>
        <w:t>本制度自</w:t>
      </w:r>
      <w:r>
        <w:rPr>
          <w:rFonts w:ascii="宋体" w:eastAsia="宋体" w:hAnsi="宋体" w:hint="eastAsia"/>
          <w:sz w:val="28"/>
          <w:szCs w:val="28"/>
          <w:lang w:eastAsia="zh-CN"/>
        </w:rPr>
        <w:t>2026年1月1日</w:t>
      </w:r>
      <w:r>
        <w:rPr>
          <w:rFonts w:ascii="宋体" w:eastAsia="宋体" w:hAnsi="宋体"/>
          <w:sz w:val="28"/>
          <w:szCs w:val="28"/>
          <w:lang w:eastAsia="zh-CN"/>
        </w:rPr>
        <w:t>起生效，原《汇安基金管理有限责任公司参与股东大会、债权人大会就重大事项等进行表决管理制度（2021年2月28日修订）》同时废止。</w:t>
      </w:r>
    </w:p>
    <w:p w14:paraId="15B63F2B" w14:textId="77777777" w:rsidR="00BE51FC" w:rsidRDefault="00BE51FC">
      <w:pPr>
        <w:spacing w:after="100" w:line="288" w:lineRule="auto"/>
        <w:jc w:val="both"/>
        <w:rPr>
          <w:rFonts w:ascii="宋体" w:eastAsia="宋体" w:hAnsi="宋体" w:hint="eastAsia"/>
          <w:sz w:val="28"/>
          <w:szCs w:val="28"/>
          <w:lang w:eastAsia="zh-CN"/>
        </w:rPr>
      </w:pPr>
    </w:p>
    <w:p w14:paraId="306E771B" w14:textId="77777777" w:rsidR="00BE51FC" w:rsidRDefault="00000000">
      <w:pPr>
        <w:rPr>
          <w:rFonts w:ascii="宋体" w:eastAsia="宋体" w:hAnsi="宋体" w:cstheme="majorBidi" w:hint="eastAsia"/>
          <w:b/>
          <w:bCs/>
          <w:sz w:val="26"/>
          <w:szCs w:val="28"/>
          <w:lang w:eastAsia="zh-CN"/>
        </w:rPr>
      </w:pPr>
      <w:r>
        <w:rPr>
          <w:rFonts w:ascii="宋体" w:eastAsia="宋体" w:hAnsi="宋体" w:hint="eastAsia"/>
          <w:sz w:val="26"/>
          <w:lang w:eastAsia="zh-CN"/>
        </w:rPr>
        <w:br w:type="page"/>
      </w:r>
    </w:p>
    <w:p w14:paraId="0BA21DC1" w14:textId="77777777" w:rsidR="00BE51FC" w:rsidRDefault="00000000">
      <w:pPr>
        <w:pStyle w:val="1"/>
        <w:spacing w:before="240" w:after="120"/>
        <w:rPr>
          <w:rFonts w:ascii="宋体" w:eastAsia="宋体" w:hAnsi="宋体" w:hint="eastAsia"/>
          <w:color w:val="auto"/>
          <w:lang w:eastAsia="zh-CN"/>
        </w:rPr>
      </w:pPr>
      <w:r>
        <w:rPr>
          <w:rFonts w:ascii="宋体" w:eastAsia="宋体" w:hAnsi="宋体"/>
          <w:color w:val="auto"/>
          <w:sz w:val="26"/>
          <w:lang w:eastAsia="zh-CN"/>
        </w:rPr>
        <w:lastRenderedPageBreak/>
        <w:t>附录</w:t>
      </w:r>
      <w:r>
        <w:rPr>
          <w:rFonts w:ascii="宋体" w:eastAsia="宋体" w:hAnsi="宋体" w:hint="eastAsia"/>
          <w:color w:val="auto"/>
          <w:sz w:val="26"/>
          <w:lang w:eastAsia="zh-CN"/>
        </w:rPr>
        <w:t>1</w:t>
      </w:r>
      <w:r>
        <w:rPr>
          <w:rFonts w:ascii="宋体" w:eastAsia="宋体" w:hAnsi="宋体"/>
          <w:color w:val="auto"/>
          <w:sz w:val="26"/>
          <w:lang w:eastAsia="zh-CN"/>
        </w:rPr>
        <w:t xml:space="preserve">  OA审批记录表修订建议</w:t>
      </w:r>
    </w:p>
    <w:p w14:paraId="655C3360" w14:textId="77777777" w:rsidR="00BE51FC" w:rsidRDefault="00000000">
      <w:pPr>
        <w:spacing w:after="160" w:line="288" w:lineRule="auto"/>
        <w:jc w:val="both"/>
        <w:rPr>
          <w:rFonts w:ascii="宋体" w:eastAsia="宋体" w:hAnsi="宋体" w:hint="eastAsia"/>
          <w:lang w:eastAsia="zh-CN"/>
        </w:rPr>
      </w:pPr>
      <w:r>
        <w:rPr>
          <w:rFonts w:ascii="宋体" w:eastAsia="宋体" w:hAnsi="宋体"/>
          <w:sz w:val="20"/>
          <w:lang w:eastAsia="zh-CN"/>
        </w:rPr>
        <w:t>在不改变现有OA审批链条的前提下，建议对现有“股东大会、债权人大会投票审批流程”内置字段作如下优化，以便新</w:t>
      </w:r>
      <w:proofErr w:type="gramStart"/>
      <w:r>
        <w:rPr>
          <w:rFonts w:ascii="宋体" w:eastAsia="宋体" w:hAnsi="宋体"/>
          <w:sz w:val="20"/>
          <w:lang w:eastAsia="zh-CN"/>
        </w:rPr>
        <w:t>规</w:t>
      </w:r>
      <w:proofErr w:type="gramEnd"/>
      <w:r>
        <w:rPr>
          <w:rFonts w:ascii="宋体" w:eastAsia="宋体" w:hAnsi="宋体"/>
          <w:sz w:val="20"/>
          <w:lang w:eastAsia="zh-CN"/>
        </w:rPr>
        <w:t>要求能够实际落地。</w:t>
      </w:r>
    </w:p>
    <w:tbl>
      <w:tblPr>
        <w:tblStyle w:val="af5"/>
        <w:tblW w:w="0" w:type="auto"/>
        <w:jc w:val="center"/>
        <w:tblLayout w:type="fixed"/>
        <w:tblLook w:val="04A0" w:firstRow="1" w:lastRow="0" w:firstColumn="1" w:lastColumn="0" w:noHBand="0" w:noVBand="1"/>
      </w:tblPr>
      <w:tblGrid>
        <w:gridCol w:w="4536"/>
        <w:gridCol w:w="6690"/>
      </w:tblGrid>
      <w:tr w:rsidR="00BE51FC" w14:paraId="34121BC0" w14:textId="77777777">
        <w:trPr>
          <w:jc w:val="center"/>
        </w:trPr>
        <w:tc>
          <w:tcPr>
            <w:tcW w:w="4536" w:type="dxa"/>
            <w:shd w:val="clear" w:color="auto" w:fill="D9E2F3"/>
          </w:tcPr>
          <w:p w14:paraId="1D2BE7E8" w14:textId="77777777" w:rsidR="00BE51FC" w:rsidRDefault="00000000">
            <w:pPr>
              <w:spacing w:after="0" w:line="264" w:lineRule="auto"/>
              <w:jc w:val="center"/>
              <w:rPr>
                <w:rFonts w:ascii="宋体" w:eastAsia="宋体" w:hAnsi="宋体" w:hint="eastAsia"/>
              </w:rPr>
            </w:pPr>
            <w:proofErr w:type="spellStart"/>
            <w:r>
              <w:rPr>
                <w:rFonts w:ascii="宋体" w:eastAsia="宋体" w:hAnsi="宋体"/>
                <w:b/>
                <w:sz w:val="20"/>
              </w:rPr>
              <w:t>字段</w:t>
            </w:r>
            <w:proofErr w:type="spellEnd"/>
          </w:p>
        </w:tc>
        <w:tc>
          <w:tcPr>
            <w:tcW w:w="4536" w:type="dxa"/>
            <w:shd w:val="clear" w:color="auto" w:fill="D9E2F3"/>
          </w:tcPr>
          <w:p w14:paraId="386C76B0" w14:textId="77777777" w:rsidR="00BE51FC" w:rsidRDefault="00000000">
            <w:pPr>
              <w:spacing w:after="0" w:line="264" w:lineRule="auto"/>
              <w:jc w:val="center"/>
              <w:rPr>
                <w:rFonts w:ascii="宋体" w:eastAsia="宋体" w:hAnsi="宋体" w:hint="eastAsia"/>
              </w:rPr>
            </w:pPr>
            <w:proofErr w:type="spellStart"/>
            <w:r>
              <w:rPr>
                <w:rFonts w:ascii="宋体" w:eastAsia="宋体" w:hAnsi="宋体"/>
                <w:b/>
                <w:sz w:val="20"/>
              </w:rPr>
              <w:t>建议填写要点</w:t>
            </w:r>
            <w:proofErr w:type="spellEnd"/>
          </w:p>
        </w:tc>
      </w:tr>
      <w:tr w:rsidR="00BE51FC" w14:paraId="08A40F54" w14:textId="77777777">
        <w:trPr>
          <w:jc w:val="center"/>
        </w:trPr>
        <w:tc>
          <w:tcPr>
            <w:tcW w:w="9071" w:type="dxa"/>
            <w:gridSpan w:val="2"/>
            <w:shd w:val="clear" w:color="auto" w:fill="EEF3F8"/>
          </w:tcPr>
          <w:p w14:paraId="35BF581D" w14:textId="77777777" w:rsidR="00BE51FC" w:rsidRDefault="00000000">
            <w:pPr>
              <w:spacing w:after="0" w:line="264" w:lineRule="auto"/>
              <w:rPr>
                <w:rFonts w:ascii="宋体" w:eastAsia="宋体" w:hAnsi="宋体" w:hint="eastAsia"/>
              </w:rPr>
            </w:pPr>
            <w:proofErr w:type="spellStart"/>
            <w:r>
              <w:rPr>
                <w:rFonts w:ascii="宋体" w:eastAsia="宋体" w:hAnsi="宋体"/>
                <w:b/>
                <w:sz w:val="20"/>
              </w:rPr>
              <w:t>基本信息</w:t>
            </w:r>
            <w:proofErr w:type="spellEnd"/>
          </w:p>
        </w:tc>
      </w:tr>
      <w:tr w:rsidR="00BE51FC" w14:paraId="08FFF648" w14:textId="77777777">
        <w:trPr>
          <w:jc w:val="center"/>
        </w:trPr>
        <w:tc>
          <w:tcPr>
            <w:tcW w:w="2381" w:type="dxa"/>
            <w:vAlign w:val="center"/>
          </w:tcPr>
          <w:p w14:paraId="18ECC53C" w14:textId="77777777" w:rsidR="00BE51FC" w:rsidRDefault="00000000">
            <w:pPr>
              <w:spacing w:after="0" w:line="264" w:lineRule="auto"/>
              <w:rPr>
                <w:rFonts w:ascii="宋体" w:eastAsia="宋体" w:hAnsi="宋体" w:hint="eastAsia"/>
                <w:lang w:eastAsia="zh-CN"/>
              </w:rPr>
            </w:pPr>
            <w:r>
              <w:rPr>
                <w:rFonts w:ascii="宋体" w:eastAsia="宋体" w:hAnsi="宋体"/>
                <w:sz w:val="19"/>
                <w:lang w:eastAsia="zh-CN"/>
              </w:rPr>
              <w:t>证券简称/证券代码/发行方名称</w:t>
            </w:r>
          </w:p>
        </w:tc>
        <w:tc>
          <w:tcPr>
            <w:tcW w:w="6690" w:type="dxa"/>
            <w:vAlign w:val="center"/>
          </w:tcPr>
          <w:p w14:paraId="4E575FB8" w14:textId="77777777" w:rsidR="00BE51FC" w:rsidRDefault="00000000">
            <w:pPr>
              <w:spacing w:after="0" w:line="264" w:lineRule="auto"/>
              <w:rPr>
                <w:rFonts w:ascii="宋体" w:eastAsia="宋体" w:hAnsi="宋体" w:hint="eastAsia"/>
              </w:rPr>
            </w:pPr>
            <w:proofErr w:type="spellStart"/>
            <w:r>
              <w:rPr>
                <w:rFonts w:ascii="宋体" w:eastAsia="宋体" w:hAnsi="宋体"/>
                <w:sz w:val="19"/>
              </w:rPr>
              <w:t>保留现有字段</w:t>
            </w:r>
            <w:proofErr w:type="spellEnd"/>
            <w:r>
              <w:rPr>
                <w:rFonts w:ascii="宋体" w:eastAsia="宋体" w:hAnsi="宋体"/>
                <w:sz w:val="19"/>
              </w:rPr>
              <w:t>。</w:t>
            </w:r>
          </w:p>
        </w:tc>
      </w:tr>
      <w:tr w:rsidR="00BE51FC" w14:paraId="59E633DC" w14:textId="77777777">
        <w:trPr>
          <w:jc w:val="center"/>
        </w:trPr>
        <w:tc>
          <w:tcPr>
            <w:tcW w:w="2381" w:type="dxa"/>
            <w:vAlign w:val="center"/>
          </w:tcPr>
          <w:p w14:paraId="5E97D2DD" w14:textId="77777777" w:rsidR="00BE51FC" w:rsidRDefault="00000000">
            <w:pPr>
              <w:spacing w:after="0" w:line="264" w:lineRule="auto"/>
              <w:rPr>
                <w:rFonts w:ascii="宋体" w:eastAsia="宋体" w:hAnsi="宋体" w:hint="eastAsia"/>
              </w:rPr>
            </w:pPr>
            <w:proofErr w:type="spellStart"/>
            <w:r>
              <w:rPr>
                <w:rFonts w:ascii="宋体" w:eastAsia="宋体" w:hAnsi="宋体"/>
                <w:sz w:val="19"/>
              </w:rPr>
              <w:t>会议类别</w:t>
            </w:r>
            <w:proofErr w:type="spellEnd"/>
          </w:p>
        </w:tc>
        <w:tc>
          <w:tcPr>
            <w:tcW w:w="6690" w:type="dxa"/>
            <w:vAlign w:val="center"/>
          </w:tcPr>
          <w:p w14:paraId="018156A9" w14:textId="77777777" w:rsidR="00BE51FC" w:rsidRDefault="00000000">
            <w:pPr>
              <w:spacing w:after="0" w:line="264" w:lineRule="auto"/>
              <w:rPr>
                <w:rFonts w:ascii="宋体" w:eastAsia="宋体" w:hAnsi="宋体" w:hint="eastAsia"/>
                <w:lang w:eastAsia="zh-CN"/>
              </w:rPr>
            </w:pPr>
            <w:r>
              <w:rPr>
                <w:rFonts w:ascii="宋体" w:eastAsia="宋体" w:hAnsi="宋体"/>
                <w:sz w:val="19"/>
                <w:lang w:eastAsia="zh-CN"/>
              </w:rPr>
              <w:t>建议细化为“股东大会”“债权人大会（含债券持有人会议）”两类，便于区分适用规则。</w:t>
            </w:r>
          </w:p>
        </w:tc>
      </w:tr>
      <w:tr w:rsidR="00BE51FC" w14:paraId="4A547A37" w14:textId="77777777">
        <w:trPr>
          <w:jc w:val="center"/>
        </w:trPr>
        <w:tc>
          <w:tcPr>
            <w:tcW w:w="2381" w:type="dxa"/>
            <w:vAlign w:val="center"/>
          </w:tcPr>
          <w:p w14:paraId="6F606E0A" w14:textId="77777777" w:rsidR="00BE51FC" w:rsidRDefault="00000000">
            <w:pPr>
              <w:spacing w:after="0" w:line="264" w:lineRule="auto"/>
              <w:rPr>
                <w:rFonts w:ascii="宋体" w:eastAsia="宋体" w:hAnsi="宋体" w:hint="eastAsia"/>
              </w:rPr>
            </w:pPr>
            <w:proofErr w:type="spellStart"/>
            <w:r>
              <w:rPr>
                <w:rFonts w:ascii="宋体" w:eastAsia="宋体" w:hAnsi="宋体"/>
                <w:sz w:val="19"/>
              </w:rPr>
              <w:t>会议名称及日期</w:t>
            </w:r>
            <w:proofErr w:type="spellEnd"/>
          </w:p>
        </w:tc>
        <w:tc>
          <w:tcPr>
            <w:tcW w:w="6690" w:type="dxa"/>
            <w:vAlign w:val="center"/>
          </w:tcPr>
          <w:p w14:paraId="616A693F" w14:textId="77777777" w:rsidR="00BE51FC" w:rsidRDefault="00000000">
            <w:pPr>
              <w:spacing w:after="0" w:line="264" w:lineRule="auto"/>
              <w:rPr>
                <w:rFonts w:ascii="宋体" w:eastAsia="宋体" w:hAnsi="宋体" w:hint="eastAsia"/>
                <w:lang w:eastAsia="zh-CN"/>
              </w:rPr>
            </w:pPr>
            <w:r>
              <w:rPr>
                <w:rFonts w:ascii="宋体" w:eastAsia="宋体" w:hAnsi="宋体"/>
                <w:sz w:val="19"/>
                <w:lang w:eastAsia="zh-CN"/>
              </w:rPr>
              <w:t>保留现有字段，并建议增加“通知来源/公告链接或邮件来源”作为辅助留痕。</w:t>
            </w:r>
          </w:p>
        </w:tc>
      </w:tr>
      <w:tr w:rsidR="00BE51FC" w14:paraId="5D26969E" w14:textId="77777777">
        <w:trPr>
          <w:jc w:val="center"/>
        </w:trPr>
        <w:tc>
          <w:tcPr>
            <w:tcW w:w="2381" w:type="dxa"/>
            <w:vAlign w:val="center"/>
          </w:tcPr>
          <w:p w14:paraId="25E17223" w14:textId="77777777" w:rsidR="00BE51FC" w:rsidRDefault="00000000">
            <w:pPr>
              <w:spacing w:after="0" w:line="264" w:lineRule="auto"/>
              <w:rPr>
                <w:rFonts w:ascii="宋体" w:eastAsia="宋体" w:hAnsi="宋体" w:hint="eastAsia"/>
              </w:rPr>
            </w:pPr>
            <w:proofErr w:type="spellStart"/>
            <w:r>
              <w:rPr>
                <w:rFonts w:ascii="宋体" w:eastAsia="宋体" w:hAnsi="宋体"/>
                <w:sz w:val="19"/>
              </w:rPr>
              <w:t>参会方式</w:t>
            </w:r>
            <w:proofErr w:type="spellEnd"/>
          </w:p>
        </w:tc>
        <w:tc>
          <w:tcPr>
            <w:tcW w:w="6690" w:type="dxa"/>
            <w:vAlign w:val="center"/>
          </w:tcPr>
          <w:p w14:paraId="54E4809B" w14:textId="77777777" w:rsidR="00BE51FC" w:rsidRDefault="00000000">
            <w:pPr>
              <w:spacing w:after="0" w:line="264" w:lineRule="auto"/>
              <w:rPr>
                <w:rFonts w:ascii="宋体" w:eastAsia="宋体" w:hAnsi="宋体" w:hint="eastAsia"/>
                <w:lang w:eastAsia="zh-CN"/>
              </w:rPr>
            </w:pPr>
            <w:r>
              <w:rPr>
                <w:rFonts w:ascii="宋体" w:eastAsia="宋体" w:hAnsi="宋体"/>
                <w:sz w:val="19"/>
                <w:lang w:eastAsia="zh-CN"/>
              </w:rPr>
              <w:t>保留“线上/非线上”字段，可同步增加“网络投票/现场表决/其他”执行方式选项。</w:t>
            </w:r>
          </w:p>
        </w:tc>
      </w:tr>
      <w:tr w:rsidR="00BE51FC" w14:paraId="71EC9319" w14:textId="77777777">
        <w:trPr>
          <w:jc w:val="center"/>
        </w:trPr>
        <w:tc>
          <w:tcPr>
            <w:tcW w:w="9071" w:type="dxa"/>
            <w:gridSpan w:val="2"/>
            <w:shd w:val="clear" w:color="auto" w:fill="EEF3F8"/>
          </w:tcPr>
          <w:p w14:paraId="2C6D2336" w14:textId="77777777" w:rsidR="00BE51FC" w:rsidRDefault="00000000">
            <w:pPr>
              <w:spacing w:after="0" w:line="264" w:lineRule="auto"/>
              <w:rPr>
                <w:rFonts w:ascii="宋体" w:eastAsia="宋体" w:hAnsi="宋体" w:hint="eastAsia"/>
              </w:rPr>
            </w:pPr>
            <w:proofErr w:type="spellStart"/>
            <w:r>
              <w:rPr>
                <w:rFonts w:ascii="宋体" w:eastAsia="宋体" w:hAnsi="宋体"/>
                <w:b/>
                <w:sz w:val="20"/>
              </w:rPr>
              <w:t>持仓及范围</w:t>
            </w:r>
            <w:proofErr w:type="spellEnd"/>
          </w:p>
        </w:tc>
      </w:tr>
      <w:tr w:rsidR="00BE51FC" w14:paraId="1BE483F8" w14:textId="77777777">
        <w:trPr>
          <w:jc w:val="center"/>
        </w:trPr>
        <w:tc>
          <w:tcPr>
            <w:tcW w:w="2381" w:type="dxa"/>
            <w:vAlign w:val="center"/>
          </w:tcPr>
          <w:p w14:paraId="1BD42709" w14:textId="77777777" w:rsidR="00BE51FC" w:rsidRDefault="00000000">
            <w:pPr>
              <w:spacing w:after="0" w:line="264" w:lineRule="auto"/>
              <w:rPr>
                <w:rFonts w:ascii="宋体" w:eastAsia="宋体" w:hAnsi="宋体" w:hint="eastAsia"/>
              </w:rPr>
            </w:pPr>
            <w:proofErr w:type="spellStart"/>
            <w:r>
              <w:rPr>
                <w:rFonts w:ascii="宋体" w:eastAsia="宋体" w:hAnsi="宋体"/>
                <w:sz w:val="19"/>
              </w:rPr>
              <w:t>组合名称及持有金额</w:t>
            </w:r>
            <w:proofErr w:type="spellEnd"/>
          </w:p>
        </w:tc>
        <w:tc>
          <w:tcPr>
            <w:tcW w:w="6690" w:type="dxa"/>
            <w:vAlign w:val="center"/>
          </w:tcPr>
          <w:p w14:paraId="34EA4EF9" w14:textId="77777777" w:rsidR="00BE51FC" w:rsidRDefault="00000000">
            <w:pPr>
              <w:spacing w:after="0" w:line="264" w:lineRule="auto"/>
              <w:rPr>
                <w:rFonts w:ascii="宋体" w:eastAsia="宋体" w:hAnsi="宋体" w:hint="eastAsia"/>
                <w:lang w:eastAsia="zh-CN"/>
              </w:rPr>
            </w:pPr>
            <w:r>
              <w:rPr>
                <w:rFonts w:ascii="宋体" w:eastAsia="宋体" w:hAnsi="宋体"/>
                <w:sz w:val="19"/>
                <w:lang w:eastAsia="zh-CN"/>
              </w:rPr>
              <w:t>保留现有字段；股东大会事项可增加“合计持股占流通股比例”字段，用于识别是否达到5%特别要求。</w:t>
            </w:r>
          </w:p>
        </w:tc>
      </w:tr>
      <w:tr w:rsidR="00BE51FC" w14:paraId="561E7705" w14:textId="77777777">
        <w:trPr>
          <w:jc w:val="center"/>
        </w:trPr>
        <w:tc>
          <w:tcPr>
            <w:tcW w:w="2381" w:type="dxa"/>
            <w:vAlign w:val="center"/>
          </w:tcPr>
          <w:p w14:paraId="28A78EF2" w14:textId="77777777" w:rsidR="00BE51FC" w:rsidRDefault="00000000">
            <w:pPr>
              <w:spacing w:after="0" w:line="264" w:lineRule="auto"/>
              <w:rPr>
                <w:rFonts w:ascii="宋体" w:eastAsia="宋体" w:hAnsi="宋体" w:hint="eastAsia"/>
                <w:lang w:eastAsia="zh-CN"/>
              </w:rPr>
            </w:pPr>
            <w:r>
              <w:rPr>
                <w:rFonts w:ascii="宋体" w:eastAsia="宋体" w:hAnsi="宋体"/>
                <w:sz w:val="19"/>
                <w:lang w:eastAsia="zh-CN"/>
              </w:rPr>
              <w:t>是否达到5%（股东大会适用）</w:t>
            </w:r>
          </w:p>
        </w:tc>
        <w:tc>
          <w:tcPr>
            <w:tcW w:w="6690" w:type="dxa"/>
            <w:vAlign w:val="center"/>
          </w:tcPr>
          <w:p w14:paraId="3F23A930" w14:textId="77777777" w:rsidR="00BE51FC" w:rsidRDefault="00000000">
            <w:pPr>
              <w:spacing w:after="0" w:line="264" w:lineRule="auto"/>
              <w:rPr>
                <w:rFonts w:ascii="宋体" w:eastAsia="宋体" w:hAnsi="宋体" w:hint="eastAsia"/>
                <w:lang w:eastAsia="zh-CN"/>
              </w:rPr>
            </w:pPr>
            <w:r>
              <w:rPr>
                <w:rFonts w:ascii="宋体" w:eastAsia="宋体" w:hAnsi="宋体"/>
                <w:sz w:val="19"/>
                <w:lang w:eastAsia="zh-CN"/>
              </w:rPr>
              <w:t>新增字段，建议采用“是/否”单选。</w:t>
            </w:r>
          </w:p>
        </w:tc>
      </w:tr>
      <w:tr w:rsidR="00BE51FC" w14:paraId="595959C7" w14:textId="77777777">
        <w:trPr>
          <w:jc w:val="center"/>
        </w:trPr>
        <w:tc>
          <w:tcPr>
            <w:tcW w:w="9071" w:type="dxa"/>
            <w:gridSpan w:val="2"/>
            <w:shd w:val="clear" w:color="auto" w:fill="EEF3F8"/>
          </w:tcPr>
          <w:p w14:paraId="69C8D9D3" w14:textId="77777777" w:rsidR="00BE51FC" w:rsidRDefault="00000000">
            <w:pPr>
              <w:spacing w:after="0" w:line="264" w:lineRule="auto"/>
              <w:rPr>
                <w:rFonts w:ascii="宋体" w:eastAsia="宋体" w:hAnsi="宋体" w:hint="eastAsia"/>
              </w:rPr>
            </w:pPr>
            <w:proofErr w:type="spellStart"/>
            <w:r>
              <w:rPr>
                <w:rFonts w:ascii="宋体" w:eastAsia="宋体" w:hAnsi="宋体"/>
                <w:b/>
                <w:sz w:val="20"/>
              </w:rPr>
              <w:t>利益冲突及信息识别</w:t>
            </w:r>
            <w:proofErr w:type="spellEnd"/>
          </w:p>
        </w:tc>
      </w:tr>
      <w:tr w:rsidR="00BE51FC" w14:paraId="3D339051" w14:textId="77777777">
        <w:trPr>
          <w:jc w:val="center"/>
        </w:trPr>
        <w:tc>
          <w:tcPr>
            <w:tcW w:w="2381" w:type="dxa"/>
            <w:vAlign w:val="center"/>
          </w:tcPr>
          <w:p w14:paraId="53D6173C" w14:textId="77777777" w:rsidR="00BE51FC" w:rsidRDefault="00000000">
            <w:pPr>
              <w:spacing w:after="0" w:line="264" w:lineRule="auto"/>
              <w:rPr>
                <w:rFonts w:ascii="宋体" w:eastAsia="宋体" w:hAnsi="宋体" w:hint="eastAsia"/>
                <w:lang w:eastAsia="zh-CN"/>
              </w:rPr>
            </w:pPr>
            <w:r>
              <w:rPr>
                <w:rFonts w:ascii="宋体" w:eastAsia="宋体" w:hAnsi="宋体"/>
                <w:sz w:val="19"/>
                <w:lang w:eastAsia="zh-CN"/>
              </w:rPr>
              <w:t>关联关系及利益冲突说明</w:t>
            </w:r>
          </w:p>
        </w:tc>
        <w:tc>
          <w:tcPr>
            <w:tcW w:w="6690" w:type="dxa"/>
            <w:vAlign w:val="center"/>
          </w:tcPr>
          <w:p w14:paraId="574640DF" w14:textId="77777777" w:rsidR="00BE51FC" w:rsidRDefault="00000000">
            <w:pPr>
              <w:spacing w:after="0" w:line="264" w:lineRule="auto"/>
              <w:rPr>
                <w:rFonts w:ascii="宋体" w:eastAsia="宋体" w:hAnsi="宋体" w:hint="eastAsia"/>
                <w:lang w:eastAsia="zh-CN"/>
              </w:rPr>
            </w:pPr>
            <w:r>
              <w:rPr>
                <w:rFonts w:ascii="宋体" w:eastAsia="宋体" w:hAnsi="宋体"/>
                <w:sz w:val="19"/>
                <w:lang w:eastAsia="zh-CN"/>
              </w:rPr>
              <w:t>保留现有字段，并增加“是否涉及直系亲属/利害关系人”“是否已采取回避措施”等要素。</w:t>
            </w:r>
          </w:p>
        </w:tc>
      </w:tr>
      <w:tr w:rsidR="00BE51FC" w14:paraId="78431307" w14:textId="77777777">
        <w:trPr>
          <w:jc w:val="center"/>
        </w:trPr>
        <w:tc>
          <w:tcPr>
            <w:tcW w:w="2381" w:type="dxa"/>
            <w:vAlign w:val="center"/>
          </w:tcPr>
          <w:p w14:paraId="7E343D14" w14:textId="77777777" w:rsidR="00BE51FC" w:rsidRDefault="00000000">
            <w:pPr>
              <w:spacing w:after="0" w:line="264" w:lineRule="auto"/>
              <w:rPr>
                <w:rFonts w:ascii="宋体" w:eastAsia="宋体" w:hAnsi="宋体" w:hint="eastAsia"/>
              </w:rPr>
            </w:pPr>
            <w:proofErr w:type="spellStart"/>
            <w:r>
              <w:rPr>
                <w:rFonts w:ascii="宋体" w:eastAsia="宋体" w:hAnsi="宋体"/>
                <w:sz w:val="19"/>
              </w:rPr>
              <w:t>是否涉及内幕信息</w:t>
            </w:r>
            <w:proofErr w:type="spellEnd"/>
          </w:p>
        </w:tc>
        <w:tc>
          <w:tcPr>
            <w:tcW w:w="6690" w:type="dxa"/>
            <w:vAlign w:val="center"/>
          </w:tcPr>
          <w:p w14:paraId="3518174F" w14:textId="77777777" w:rsidR="00BE51FC" w:rsidRDefault="00000000">
            <w:pPr>
              <w:spacing w:after="0" w:line="264" w:lineRule="auto"/>
              <w:rPr>
                <w:rFonts w:ascii="宋体" w:eastAsia="宋体" w:hAnsi="宋体" w:hint="eastAsia"/>
                <w:lang w:eastAsia="zh-CN"/>
              </w:rPr>
            </w:pPr>
            <w:r>
              <w:rPr>
                <w:rFonts w:ascii="宋体" w:eastAsia="宋体" w:hAnsi="宋体"/>
                <w:sz w:val="19"/>
                <w:lang w:eastAsia="zh-CN"/>
              </w:rPr>
              <w:t>新增字段，建议采用“是/否”单选，并预留“处理措施说明”填写区域。</w:t>
            </w:r>
          </w:p>
        </w:tc>
      </w:tr>
    </w:tbl>
    <w:p w14:paraId="403DF1DF" w14:textId="77777777" w:rsidR="00BE51FC" w:rsidRDefault="00BE51FC">
      <w:pPr>
        <w:rPr>
          <w:rFonts w:ascii="宋体" w:eastAsia="宋体" w:hAnsi="宋体" w:hint="eastAsia"/>
          <w:lang w:eastAsia="zh-CN"/>
        </w:rPr>
      </w:pPr>
    </w:p>
    <w:p w14:paraId="2374DB72" w14:textId="77777777" w:rsidR="00BE51FC" w:rsidRDefault="00000000">
      <w:pPr>
        <w:spacing w:before="80" w:after="80" w:line="240" w:lineRule="auto"/>
        <w:jc w:val="both"/>
        <w:rPr>
          <w:rFonts w:ascii="宋体" w:eastAsia="宋体" w:hAnsi="宋体" w:hint="eastAsia"/>
        </w:rPr>
      </w:pPr>
      <w:proofErr w:type="spellStart"/>
      <w:r>
        <w:rPr>
          <w:rFonts w:ascii="宋体" w:eastAsia="宋体" w:hAnsi="宋体"/>
          <w:b/>
          <w:sz w:val="21"/>
        </w:rPr>
        <w:t>附录续表</w:t>
      </w:r>
      <w:proofErr w:type="spellEnd"/>
    </w:p>
    <w:tbl>
      <w:tblPr>
        <w:tblStyle w:val="af5"/>
        <w:tblW w:w="0" w:type="auto"/>
        <w:jc w:val="center"/>
        <w:tblLayout w:type="fixed"/>
        <w:tblLook w:val="04A0" w:firstRow="1" w:lastRow="0" w:firstColumn="1" w:lastColumn="0" w:noHBand="0" w:noVBand="1"/>
      </w:tblPr>
      <w:tblGrid>
        <w:gridCol w:w="4536"/>
        <w:gridCol w:w="6690"/>
      </w:tblGrid>
      <w:tr w:rsidR="00BE51FC" w14:paraId="203DBED0" w14:textId="77777777">
        <w:trPr>
          <w:jc w:val="center"/>
        </w:trPr>
        <w:tc>
          <w:tcPr>
            <w:tcW w:w="4536" w:type="dxa"/>
            <w:shd w:val="clear" w:color="auto" w:fill="D9E2F3"/>
          </w:tcPr>
          <w:p w14:paraId="55135950" w14:textId="77777777" w:rsidR="00BE51FC" w:rsidRDefault="00000000">
            <w:pPr>
              <w:spacing w:after="0" w:line="264" w:lineRule="auto"/>
              <w:jc w:val="center"/>
              <w:rPr>
                <w:rFonts w:ascii="宋体" w:eastAsia="宋体" w:hAnsi="宋体" w:hint="eastAsia"/>
              </w:rPr>
            </w:pPr>
            <w:proofErr w:type="spellStart"/>
            <w:r>
              <w:rPr>
                <w:rFonts w:ascii="宋体" w:eastAsia="宋体" w:hAnsi="宋体"/>
                <w:b/>
                <w:sz w:val="20"/>
              </w:rPr>
              <w:t>字段</w:t>
            </w:r>
            <w:proofErr w:type="spellEnd"/>
          </w:p>
        </w:tc>
        <w:tc>
          <w:tcPr>
            <w:tcW w:w="4536" w:type="dxa"/>
            <w:shd w:val="clear" w:color="auto" w:fill="D9E2F3"/>
          </w:tcPr>
          <w:p w14:paraId="6256350A" w14:textId="77777777" w:rsidR="00BE51FC" w:rsidRDefault="00000000">
            <w:pPr>
              <w:spacing w:after="0" w:line="264" w:lineRule="auto"/>
              <w:jc w:val="center"/>
              <w:rPr>
                <w:rFonts w:ascii="宋体" w:eastAsia="宋体" w:hAnsi="宋体" w:hint="eastAsia"/>
              </w:rPr>
            </w:pPr>
            <w:proofErr w:type="spellStart"/>
            <w:r>
              <w:rPr>
                <w:rFonts w:ascii="宋体" w:eastAsia="宋体" w:hAnsi="宋体"/>
                <w:b/>
                <w:sz w:val="20"/>
              </w:rPr>
              <w:t>建议填写要点</w:t>
            </w:r>
            <w:proofErr w:type="spellEnd"/>
          </w:p>
        </w:tc>
      </w:tr>
      <w:tr w:rsidR="00BE51FC" w14:paraId="29EBC7DA" w14:textId="77777777">
        <w:trPr>
          <w:jc w:val="center"/>
        </w:trPr>
        <w:tc>
          <w:tcPr>
            <w:tcW w:w="9071" w:type="dxa"/>
            <w:gridSpan w:val="2"/>
            <w:shd w:val="clear" w:color="auto" w:fill="EEF3F8"/>
          </w:tcPr>
          <w:p w14:paraId="7BCE06E7" w14:textId="77777777" w:rsidR="00BE51FC" w:rsidRDefault="00000000">
            <w:pPr>
              <w:spacing w:after="0" w:line="264" w:lineRule="auto"/>
              <w:rPr>
                <w:rFonts w:ascii="宋体" w:eastAsia="宋体" w:hAnsi="宋体" w:hint="eastAsia"/>
              </w:rPr>
            </w:pPr>
            <w:proofErr w:type="spellStart"/>
            <w:r>
              <w:rPr>
                <w:rFonts w:ascii="宋体" w:eastAsia="宋体" w:hAnsi="宋体"/>
                <w:b/>
                <w:sz w:val="20"/>
              </w:rPr>
              <w:t>议案审议</w:t>
            </w:r>
            <w:proofErr w:type="spellEnd"/>
          </w:p>
        </w:tc>
      </w:tr>
      <w:tr w:rsidR="00BE51FC" w14:paraId="315C686E" w14:textId="77777777">
        <w:trPr>
          <w:jc w:val="center"/>
        </w:trPr>
        <w:tc>
          <w:tcPr>
            <w:tcW w:w="2381" w:type="dxa"/>
            <w:vAlign w:val="center"/>
          </w:tcPr>
          <w:p w14:paraId="555EBA74" w14:textId="77777777" w:rsidR="00BE51FC" w:rsidRDefault="00000000">
            <w:pPr>
              <w:spacing w:after="0" w:line="264" w:lineRule="auto"/>
              <w:rPr>
                <w:rFonts w:ascii="宋体" w:eastAsia="宋体" w:hAnsi="宋体" w:hint="eastAsia"/>
              </w:rPr>
            </w:pPr>
            <w:proofErr w:type="spellStart"/>
            <w:r>
              <w:rPr>
                <w:rFonts w:ascii="宋体" w:eastAsia="宋体" w:hAnsi="宋体"/>
                <w:sz w:val="19"/>
              </w:rPr>
              <w:t>表决议案或事项</w:t>
            </w:r>
            <w:proofErr w:type="spellEnd"/>
          </w:p>
        </w:tc>
        <w:tc>
          <w:tcPr>
            <w:tcW w:w="6690" w:type="dxa"/>
            <w:vAlign w:val="center"/>
          </w:tcPr>
          <w:p w14:paraId="2E23E030" w14:textId="77777777" w:rsidR="00BE51FC" w:rsidRDefault="00000000">
            <w:pPr>
              <w:spacing w:after="0" w:line="264" w:lineRule="auto"/>
              <w:rPr>
                <w:rFonts w:ascii="宋体" w:eastAsia="宋体" w:hAnsi="宋体" w:hint="eastAsia"/>
              </w:rPr>
            </w:pPr>
            <w:proofErr w:type="spellStart"/>
            <w:r>
              <w:rPr>
                <w:rFonts w:ascii="宋体" w:eastAsia="宋体" w:hAnsi="宋体"/>
                <w:sz w:val="19"/>
              </w:rPr>
              <w:t>保留现有字段</w:t>
            </w:r>
            <w:proofErr w:type="spellEnd"/>
            <w:r>
              <w:rPr>
                <w:rFonts w:ascii="宋体" w:eastAsia="宋体" w:hAnsi="宋体"/>
                <w:sz w:val="19"/>
              </w:rPr>
              <w:t>。</w:t>
            </w:r>
          </w:p>
        </w:tc>
      </w:tr>
      <w:tr w:rsidR="00BE51FC" w14:paraId="42FBE448" w14:textId="77777777">
        <w:trPr>
          <w:jc w:val="center"/>
        </w:trPr>
        <w:tc>
          <w:tcPr>
            <w:tcW w:w="2381" w:type="dxa"/>
            <w:vAlign w:val="center"/>
          </w:tcPr>
          <w:p w14:paraId="411F1961" w14:textId="77777777" w:rsidR="00BE51FC" w:rsidRDefault="00000000">
            <w:pPr>
              <w:spacing w:after="0" w:line="264" w:lineRule="auto"/>
              <w:rPr>
                <w:rFonts w:ascii="宋体" w:eastAsia="宋体" w:hAnsi="宋体" w:hint="eastAsia"/>
              </w:rPr>
            </w:pPr>
            <w:proofErr w:type="spellStart"/>
            <w:r>
              <w:rPr>
                <w:rFonts w:ascii="宋体" w:eastAsia="宋体" w:hAnsi="宋体"/>
                <w:sz w:val="19"/>
              </w:rPr>
              <w:t>投票建议</w:t>
            </w:r>
            <w:proofErr w:type="spellEnd"/>
          </w:p>
        </w:tc>
        <w:tc>
          <w:tcPr>
            <w:tcW w:w="6690" w:type="dxa"/>
            <w:vAlign w:val="center"/>
          </w:tcPr>
          <w:p w14:paraId="611D7AC6" w14:textId="77777777" w:rsidR="00BE51FC" w:rsidRDefault="00000000">
            <w:pPr>
              <w:spacing w:after="0" w:line="264" w:lineRule="auto"/>
              <w:rPr>
                <w:rFonts w:ascii="宋体" w:eastAsia="宋体" w:hAnsi="宋体" w:hint="eastAsia"/>
                <w:lang w:eastAsia="zh-CN"/>
              </w:rPr>
            </w:pPr>
            <w:r>
              <w:rPr>
                <w:rFonts w:ascii="宋体" w:eastAsia="宋体" w:hAnsi="宋体"/>
                <w:sz w:val="19"/>
                <w:lang w:eastAsia="zh-CN"/>
              </w:rPr>
              <w:t>建议细化为“赞成/反对/弃权”单选，并增加“表决理由摘要”填写栏。</w:t>
            </w:r>
          </w:p>
        </w:tc>
      </w:tr>
      <w:tr w:rsidR="00BE51FC" w14:paraId="20C77B4B" w14:textId="77777777">
        <w:trPr>
          <w:jc w:val="center"/>
        </w:trPr>
        <w:tc>
          <w:tcPr>
            <w:tcW w:w="9071" w:type="dxa"/>
            <w:gridSpan w:val="2"/>
            <w:shd w:val="clear" w:color="auto" w:fill="EEF3F8"/>
          </w:tcPr>
          <w:p w14:paraId="54717CA4" w14:textId="77777777" w:rsidR="00BE51FC" w:rsidRDefault="00000000">
            <w:pPr>
              <w:spacing w:after="0" w:line="264" w:lineRule="auto"/>
              <w:rPr>
                <w:rFonts w:ascii="宋体" w:eastAsia="宋体" w:hAnsi="宋体" w:hint="eastAsia"/>
              </w:rPr>
            </w:pPr>
            <w:proofErr w:type="spellStart"/>
            <w:r>
              <w:rPr>
                <w:rFonts w:ascii="宋体" w:eastAsia="宋体" w:hAnsi="宋体"/>
                <w:b/>
                <w:sz w:val="20"/>
              </w:rPr>
              <w:t>授权及执行</w:t>
            </w:r>
            <w:proofErr w:type="spellEnd"/>
          </w:p>
        </w:tc>
      </w:tr>
      <w:tr w:rsidR="00BE51FC" w14:paraId="3A9307C3" w14:textId="77777777">
        <w:trPr>
          <w:jc w:val="center"/>
        </w:trPr>
        <w:tc>
          <w:tcPr>
            <w:tcW w:w="2381" w:type="dxa"/>
            <w:vAlign w:val="center"/>
          </w:tcPr>
          <w:p w14:paraId="1FD1AC50" w14:textId="77777777" w:rsidR="00BE51FC" w:rsidRDefault="00000000">
            <w:pPr>
              <w:spacing w:after="0" w:line="264" w:lineRule="auto"/>
              <w:rPr>
                <w:rFonts w:ascii="宋体" w:eastAsia="宋体" w:hAnsi="宋体" w:hint="eastAsia"/>
                <w:lang w:eastAsia="zh-CN"/>
              </w:rPr>
            </w:pPr>
            <w:r>
              <w:rPr>
                <w:rFonts w:ascii="宋体" w:eastAsia="宋体" w:hAnsi="宋体"/>
                <w:sz w:val="19"/>
                <w:lang w:eastAsia="zh-CN"/>
              </w:rPr>
              <w:t>授权参会人员/授权期限</w:t>
            </w:r>
          </w:p>
        </w:tc>
        <w:tc>
          <w:tcPr>
            <w:tcW w:w="6690" w:type="dxa"/>
            <w:vAlign w:val="center"/>
          </w:tcPr>
          <w:p w14:paraId="49CC3827" w14:textId="77777777" w:rsidR="00BE51FC" w:rsidRDefault="00000000">
            <w:pPr>
              <w:spacing w:after="0" w:line="264" w:lineRule="auto"/>
              <w:rPr>
                <w:rFonts w:ascii="宋体" w:eastAsia="宋体" w:hAnsi="宋体" w:hint="eastAsia"/>
                <w:lang w:eastAsia="zh-CN"/>
              </w:rPr>
            </w:pPr>
            <w:r>
              <w:rPr>
                <w:rFonts w:ascii="宋体" w:eastAsia="宋体" w:hAnsi="宋体"/>
                <w:sz w:val="19"/>
                <w:lang w:eastAsia="zh-CN"/>
              </w:rPr>
              <w:t>保留现有字段，并新增“授权范围”字段，以满足现场表决书面授权要求。</w:t>
            </w:r>
          </w:p>
        </w:tc>
      </w:tr>
      <w:tr w:rsidR="00BE51FC" w14:paraId="4F92978E" w14:textId="77777777">
        <w:trPr>
          <w:jc w:val="center"/>
        </w:trPr>
        <w:tc>
          <w:tcPr>
            <w:tcW w:w="2381" w:type="dxa"/>
            <w:vAlign w:val="center"/>
          </w:tcPr>
          <w:p w14:paraId="359D8447" w14:textId="77777777" w:rsidR="00BE51FC" w:rsidRDefault="00000000">
            <w:pPr>
              <w:spacing w:after="0" w:line="264" w:lineRule="auto"/>
              <w:rPr>
                <w:rFonts w:ascii="宋体" w:eastAsia="宋体" w:hAnsi="宋体" w:hint="eastAsia"/>
              </w:rPr>
            </w:pPr>
            <w:proofErr w:type="spellStart"/>
            <w:r>
              <w:rPr>
                <w:rFonts w:ascii="宋体" w:eastAsia="宋体" w:hAnsi="宋体"/>
                <w:sz w:val="19"/>
              </w:rPr>
              <w:t>执行部门及执行结果</w:t>
            </w:r>
            <w:proofErr w:type="spellEnd"/>
          </w:p>
        </w:tc>
        <w:tc>
          <w:tcPr>
            <w:tcW w:w="6690" w:type="dxa"/>
            <w:vAlign w:val="center"/>
          </w:tcPr>
          <w:p w14:paraId="76E879B9" w14:textId="77777777" w:rsidR="00BE51FC" w:rsidRDefault="00000000">
            <w:pPr>
              <w:spacing w:after="0" w:line="264" w:lineRule="auto"/>
              <w:rPr>
                <w:rFonts w:ascii="宋体" w:eastAsia="宋体" w:hAnsi="宋体" w:hint="eastAsia"/>
                <w:lang w:eastAsia="zh-CN"/>
              </w:rPr>
            </w:pPr>
            <w:r>
              <w:rPr>
                <w:rFonts w:ascii="宋体" w:eastAsia="宋体" w:hAnsi="宋体"/>
                <w:sz w:val="19"/>
                <w:lang w:eastAsia="zh-CN"/>
              </w:rPr>
              <w:t>建议增加“执行时间”“执行结果/截图留痕位置”字段，便于后续检查。</w:t>
            </w:r>
          </w:p>
        </w:tc>
      </w:tr>
      <w:tr w:rsidR="00BE51FC" w14:paraId="663B9967" w14:textId="77777777">
        <w:trPr>
          <w:jc w:val="center"/>
        </w:trPr>
        <w:tc>
          <w:tcPr>
            <w:tcW w:w="9071" w:type="dxa"/>
            <w:gridSpan w:val="2"/>
            <w:shd w:val="clear" w:color="auto" w:fill="EEF3F8"/>
          </w:tcPr>
          <w:p w14:paraId="45CD0B69" w14:textId="77777777" w:rsidR="00BE51FC" w:rsidRDefault="00000000">
            <w:pPr>
              <w:spacing w:after="0" w:line="264" w:lineRule="auto"/>
              <w:rPr>
                <w:rFonts w:ascii="宋体" w:eastAsia="宋体" w:hAnsi="宋体" w:hint="eastAsia"/>
              </w:rPr>
            </w:pPr>
            <w:proofErr w:type="spellStart"/>
            <w:r>
              <w:rPr>
                <w:rFonts w:ascii="宋体" w:eastAsia="宋体" w:hAnsi="宋体"/>
                <w:b/>
                <w:sz w:val="20"/>
              </w:rPr>
              <w:t>审批意见</w:t>
            </w:r>
            <w:proofErr w:type="spellEnd"/>
          </w:p>
        </w:tc>
      </w:tr>
      <w:tr w:rsidR="00BE51FC" w14:paraId="4006807C" w14:textId="77777777">
        <w:trPr>
          <w:jc w:val="center"/>
        </w:trPr>
        <w:tc>
          <w:tcPr>
            <w:tcW w:w="2381" w:type="dxa"/>
            <w:vAlign w:val="center"/>
          </w:tcPr>
          <w:p w14:paraId="1778F197" w14:textId="77777777" w:rsidR="00BE51FC" w:rsidRDefault="00000000">
            <w:pPr>
              <w:spacing w:after="0" w:line="264" w:lineRule="auto"/>
              <w:rPr>
                <w:rFonts w:ascii="宋体" w:eastAsia="宋体" w:hAnsi="宋体" w:hint="eastAsia"/>
                <w:lang w:eastAsia="zh-CN"/>
              </w:rPr>
            </w:pPr>
            <w:r>
              <w:rPr>
                <w:rFonts w:ascii="宋体" w:eastAsia="宋体" w:hAnsi="宋体" w:hint="eastAsia"/>
                <w:sz w:val="19"/>
                <w:lang w:eastAsia="zh-CN"/>
              </w:rPr>
              <w:t>投</w:t>
            </w:r>
            <w:proofErr w:type="gramStart"/>
            <w:r>
              <w:rPr>
                <w:rFonts w:ascii="宋体" w:eastAsia="宋体" w:hAnsi="宋体" w:hint="eastAsia"/>
                <w:sz w:val="19"/>
                <w:lang w:eastAsia="zh-CN"/>
              </w:rPr>
              <w:t>研</w:t>
            </w:r>
            <w:proofErr w:type="gramEnd"/>
            <w:r>
              <w:rPr>
                <w:rFonts w:ascii="宋体" w:eastAsia="宋体" w:hAnsi="宋体"/>
                <w:sz w:val="19"/>
                <w:lang w:eastAsia="zh-CN"/>
              </w:rPr>
              <w:t>分管副总/</w:t>
            </w:r>
            <w:proofErr w:type="gramStart"/>
            <w:r>
              <w:rPr>
                <w:rFonts w:ascii="宋体" w:eastAsia="宋体" w:hAnsi="宋体"/>
                <w:sz w:val="19"/>
                <w:lang w:eastAsia="zh-CN"/>
              </w:rPr>
              <w:t>风控/合规</w:t>
            </w:r>
            <w:proofErr w:type="gramEnd"/>
            <w:r>
              <w:rPr>
                <w:rFonts w:ascii="宋体" w:eastAsia="宋体" w:hAnsi="宋体"/>
                <w:sz w:val="19"/>
                <w:lang w:eastAsia="zh-CN"/>
              </w:rPr>
              <w:t>/督察长/总经理/交易部执行/申请人确认</w:t>
            </w:r>
          </w:p>
        </w:tc>
        <w:tc>
          <w:tcPr>
            <w:tcW w:w="6690" w:type="dxa"/>
            <w:vAlign w:val="center"/>
          </w:tcPr>
          <w:p w14:paraId="15D8FA49" w14:textId="77777777" w:rsidR="00BE51FC" w:rsidRDefault="00000000">
            <w:pPr>
              <w:spacing w:after="0" w:line="264" w:lineRule="auto"/>
              <w:rPr>
                <w:rFonts w:ascii="宋体" w:eastAsia="宋体" w:hAnsi="宋体" w:hint="eastAsia"/>
                <w:lang w:eastAsia="zh-CN"/>
              </w:rPr>
            </w:pPr>
            <w:r>
              <w:rPr>
                <w:rFonts w:ascii="宋体" w:eastAsia="宋体" w:hAnsi="宋体"/>
                <w:sz w:val="19"/>
                <w:lang w:eastAsia="zh-CN"/>
              </w:rPr>
              <w:t>沿用现有审批链条</w:t>
            </w:r>
          </w:p>
        </w:tc>
      </w:tr>
      <w:tr w:rsidR="00BE51FC" w14:paraId="32C75DC8" w14:textId="77777777">
        <w:trPr>
          <w:jc w:val="center"/>
        </w:trPr>
        <w:tc>
          <w:tcPr>
            <w:tcW w:w="9071" w:type="dxa"/>
            <w:gridSpan w:val="2"/>
            <w:shd w:val="clear" w:color="auto" w:fill="EEF3F8"/>
          </w:tcPr>
          <w:p w14:paraId="547BF734" w14:textId="77777777" w:rsidR="00BE51FC" w:rsidRDefault="00000000">
            <w:pPr>
              <w:spacing w:after="0" w:line="264" w:lineRule="auto"/>
              <w:rPr>
                <w:rFonts w:ascii="宋体" w:eastAsia="宋体" w:hAnsi="宋体" w:hint="eastAsia"/>
              </w:rPr>
            </w:pPr>
            <w:proofErr w:type="spellStart"/>
            <w:r>
              <w:rPr>
                <w:rFonts w:ascii="宋体" w:eastAsia="宋体" w:hAnsi="宋体"/>
                <w:b/>
                <w:sz w:val="20"/>
              </w:rPr>
              <w:t>后续事项</w:t>
            </w:r>
            <w:proofErr w:type="spellEnd"/>
          </w:p>
        </w:tc>
      </w:tr>
      <w:tr w:rsidR="00BE51FC" w14:paraId="6C3D0CFA" w14:textId="77777777">
        <w:trPr>
          <w:jc w:val="center"/>
        </w:trPr>
        <w:tc>
          <w:tcPr>
            <w:tcW w:w="2381" w:type="dxa"/>
            <w:vAlign w:val="center"/>
          </w:tcPr>
          <w:p w14:paraId="25659DF8" w14:textId="77777777" w:rsidR="00BE51FC" w:rsidRDefault="00000000">
            <w:pPr>
              <w:spacing w:after="0" w:line="264" w:lineRule="auto"/>
              <w:rPr>
                <w:rFonts w:ascii="宋体" w:eastAsia="宋体" w:hAnsi="宋体" w:hint="eastAsia"/>
                <w:lang w:eastAsia="zh-CN"/>
              </w:rPr>
            </w:pPr>
            <w:r>
              <w:rPr>
                <w:rFonts w:ascii="宋体" w:eastAsia="宋体" w:hAnsi="宋体"/>
                <w:sz w:val="19"/>
                <w:lang w:eastAsia="zh-CN"/>
              </w:rPr>
              <w:t>是否需后续跟踪/是否涉及年度披露</w:t>
            </w:r>
          </w:p>
        </w:tc>
        <w:tc>
          <w:tcPr>
            <w:tcW w:w="6690" w:type="dxa"/>
            <w:vAlign w:val="center"/>
          </w:tcPr>
          <w:p w14:paraId="466A048A" w14:textId="77777777" w:rsidR="00BE51FC" w:rsidRDefault="00000000">
            <w:pPr>
              <w:spacing w:after="0" w:line="264" w:lineRule="auto"/>
              <w:rPr>
                <w:rFonts w:ascii="宋体" w:eastAsia="宋体" w:hAnsi="宋体" w:hint="eastAsia"/>
                <w:lang w:eastAsia="zh-CN"/>
              </w:rPr>
            </w:pPr>
            <w:r>
              <w:rPr>
                <w:rFonts w:ascii="宋体" w:eastAsia="宋体" w:hAnsi="宋体"/>
                <w:sz w:val="19"/>
                <w:lang w:eastAsia="zh-CN"/>
              </w:rPr>
              <w:t>新增字段，便于落实上市公司治理后续跟进和</w:t>
            </w:r>
            <w:proofErr w:type="gramStart"/>
            <w:r>
              <w:rPr>
                <w:rFonts w:ascii="宋体" w:eastAsia="宋体" w:hAnsi="宋体"/>
                <w:sz w:val="19"/>
                <w:lang w:eastAsia="zh-CN"/>
              </w:rPr>
              <w:t>年度官网披露</w:t>
            </w:r>
            <w:proofErr w:type="gramEnd"/>
            <w:r>
              <w:rPr>
                <w:rFonts w:ascii="宋体" w:eastAsia="宋体" w:hAnsi="宋体"/>
                <w:sz w:val="19"/>
                <w:lang w:eastAsia="zh-CN"/>
              </w:rPr>
              <w:t>统计。</w:t>
            </w:r>
          </w:p>
        </w:tc>
      </w:tr>
    </w:tbl>
    <w:p w14:paraId="7D27D3C5" w14:textId="77777777" w:rsidR="00BE51FC" w:rsidRDefault="00BE51FC">
      <w:pPr>
        <w:spacing w:before="160" w:after="0" w:line="288" w:lineRule="auto"/>
        <w:jc w:val="both"/>
        <w:rPr>
          <w:rFonts w:ascii="宋体" w:eastAsia="宋体" w:hAnsi="宋体" w:hint="eastAsia"/>
          <w:lang w:eastAsia="zh-CN"/>
        </w:rPr>
      </w:pPr>
    </w:p>
    <w:p w14:paraId="26B00CA6" w14:textId="77777777" w:rsidR="00BE51FC" w:rsidRDefault="00000000">
      <w:pPr>
        <w:rPr>
          <w:rFonts w:ascii="宋体" w:eastAsia="宋体" w:hAnsi="宋体" w:hint="eastAsia"/>
          <w:lang w:eastAsia="zh-CN"/>
        </w:rPr>
      </w:pPr>
      <w:r>
        <w:rPr>
          <w:rFonts w:ascii="宋体" w:eastAsia="宋体" w:hAnsi="宋体" w:hint="eastAsia"/>
          <w:lang w:eastAsia="zh-CN"/>
        </w:rPr>
        <w:br w:type="page"/>
      </w:r>
    </w:p>
    <w:p w14:paraId="4AE1F852" w14:textId="77777777" w:rsidR="00BE51FC" w:rsidRDefault="00000000">
      <w:pPr>
        <w:tabs>
          <w:tab w:val="left" w:pos="0"/>
          <w:tab w:val="left" w:pos="900"/>
          <w:tab w:val="left" w:pos="1418"/>
        </w:tabs>
        <w:spacing w:line="360" w:lineRule="auto"/>
        <w:rPr>
          <w:rFonts w:ascii="宋体" w:eastAsia="宋体" w:hAnsi="宋体" w:hint="eastAsia"/>
          <w:b/>
          <w:bCs/>
          <w:color w:val="0D0D0D" w:themeColor="text1" w:themeTint="F2"/>
          <w:sz w:val="28"/>
          <w:szCs w:val="28"/>
          <w:lang w:eastAsia="zh-CN"/>
        </w:rPr>
      </w:pPr>
      <w:r>
        <w:rPr>
          <w:rFonts w:ascii="宋体" w:eastAsia="宋体" w:hAnsi="宋体" w:cs="宋体" w:hint="eastAsia"/>
          <w:b/>
          <w:bCs/>
          <w:color w:val="0D0D0D" w:themeColor="text1" w:themeTint="F2"/>
          <w:sz w:val="28"/>
          <w:szCs w:val="28"/>
          <w:lang w:eastAsia="zh-CN"/>
        </w:rPr>
        <w:lastRenderedPageBreak/>
        <w:t>附录2</w:t>
      </w:r>
    </w:p>
    <w:p w14:paraId="5A004E95" w14:textId="77777777" w:rsidR="00BE51FC" w:rsidRDefault="00000000">
      <w:pPr>
        <w:jc w:val="center"/>
        <w:rPr>
          <w:b/>
          <w:bCs/>
          <w:color w:val="0D0D0D" w:themeColor="text1" w:themeTint="F2"/>
          <w:sz w:val="24"/>
          <w:lang w:eastAsia="zh-CN"/>
        </w:rPr>
      </w:pPr>
      <w:r>
        <w:rPr>
          <w:rFonts w:hint="eastAsia"/>
          <w:b/>
          <w:bCs/>
          <w:color w:val="0D0D0D" w:themeColor="text1" w:themeTint="F2"/>
          <w:sz w:val="24"/>
          <w:lang w:eastAsia="zh-CN"/>
        </w:rPr>
        <w:t>对外行使股东大会、债权人大会投票表决权授权审批记录表</w:t>
      </w:r>
    </w:p>
    <w:p w14:paraId="58D3A071" w14:textId="77777777" w:rsidR="00BE51FC" w:rsidRDefault="00BE51FC">
      <w:pPr>
        <w:jc w:val="center"/>
        <w:rPr>
          <w:b/>
          <w:bCs/>
          <w:color w:val="0D0D0D" w:themeColor="text1" w:themeTint="F2"/>
          <w:sz w:val="24"/>
          <w:lang w:eastAsia="zh-CN"/>
        </w:rPr>
      </w:pPr>
    </w:p>
    <w:tbl>
      <w:tblPr>
        <w:tblStyle w:val="af5"/>
        <w:tblW w:w="8642" w:type="dxa"/>
        <w:tblLayout w:type="fixed"/>
        <w:tblLook w:val="04A0" w:firstRow="1" w:lastRow="0" w:firstColumn="1" w:lastColumn="0" w:noHBand="0" w:noVBand="1"/>
      </w:tblPr>
      <w:tblGrid>
        <w:gridCol w:w="2972"/>
        <w:gridCol w:w="2552"/>
        <w:gridCol w:w="3118"/>
      </w:tblGrid>
      <w:tr w:rsidR="00BE51FC" w14:paraId="50DB8462" w14:textId="77777777">
        <w:tc>
          <w:tcPr>
            <w:tcW w:w="2972" w:type="dxa"/>
          </w:tcPr>
          <w:p w14:paraId="49BEE19F" w14:textId="77777777" w:rsidR="00BE51FC" w:rsidRDefault="00000000">
            <w:pPr>
              <w:spacing w:after="0" w:line="240" w:lineRule="auto"/>
              <w:rPr>
                <w:color w:val="0D0D0D" w:themeColor="text1" w:themeTint="F2"/>
                <w:sz w:val="24"/>
              </w:rPr>
            </w:pPr>
            <w:proofErr w:type="spellStart"/>
            <w:r>
              <w:rPr>
                <w:rFonts w:hint="eastAsia"/>
                <w:color w:val="0D0D0D" w:themeColor="text1" w:themeTint="F2"/>
                <w:sz w:val="24"/>
              </w:rPr>
              <w:t>证券简称</w:t>
            </w:r>
            <w:proofErr w:type="spellEnd"/>
          </w:p>
        </w:tc>
        <w:tc>
          <w:tcPr>
            <w:tcW w:w="2552" w:type="dxa"/>
          </w:tcPr>
          <w:p w14:paraId="3AE2710C" w14:textId="77777777" w:rsidR="00BE51FC" w:rsidRDefault="00BE51FC">
            <w:pPr>
              <w:spacing w:after="0" w:line="240" w:lineRule="auto"/>
              <w:rPr>
                <w:color w:val="0D0D0D" w:themeColor="text1" w:themeTint="F2"/>
                <w:sz w:val="24"/>
              </w:rPr>
            </w:pPr>
          </w:p>
        </w:tc>
        <w:tc>
          <w:tcPr>
            <w:tcW w:w="3118" w:type="dxa"/>
          </w:tcPr>
          <w:p w14:paraId="1C179C7F" w14:textId="77777777" w:rsidR="00BE51FC" w:rsidRDefault="00000000">
            <w:pPr>
              <w:spacing w:after="0" w:line="240" w:lineRule="auto"/>
              <w:rPr>
                <w:color w:val="0D0D0D" w:themeColor="text1" w:themeTint="F2"/>
                <w:sz w:val="24"/>
              </w:rPr>
            </w:pPr>
            <w:proofErr w:type="spellStart"/>
            <w:r>
              <w:rPr>
                <w:rFonts w:hint="eastAsia"/>
                <w:color w:val="0D0D0D" w:themeColor="text1" w:themeTint="F2"/>
                <w:sz w:val="24"/>
              </w:rPr>
              <w:t>证券代码</w:t>
            </w:r>
            <w:proofErr w:type="spellEnd"/>
          </w:p>
        </w:tc>
      </w:tr>
      <w:tr w:rsidR="00BE51FC" w14:paraId="08483788" w14:textId="77777777">
        <w:tc>
          <w:tcPr>
            <w:tcW w:w="2972" w:type="dxa"/>
          </w:tcPr>
          <w:p w14:paraId="1072920D" w14:textId="77777777" w:rsidR="00BE51FC" w:rsidRDefault="00000000">
            <w:pPr>
              <w:spacing w:after="0" w:line="240" w:lineRule="auto"/>
              <w:rPr>
                <w:color w:val="0D0D0D" w:themeColor="text1" w:themeTint="F2"/>
                <w:sz w:val="24"/>
              </w:rPr>
            </w:pPr>
            <w:proofErr w:type="spellStart"/>
            <w:r>
              <w:rPr>
                <w:rFonts w:hint="eastAsia"/>
                <w:color w:val="0D0D0D" w:themeColor="text1" w:themeTint="F2"/>
                <w:sz w:val="24"/>
              </w:rPr>
              <w:t>发行方名称</w:t>
            </w:r>
            <w:proofErr w:type="spellEnd"/>
          </w:p>
        </w:tc>
        <w:tc>
          <w:tcPr>
            <w:tcW w:w="5670" w:type="dxa"/>
            <w:gridSpan w:val="2"/>
          </w:tcPr>
          <w:p w14:paraId="1659A629" w14:textId="77777777" w:rsidR="00BE51FC" w:rsidRDefault="00BE51FC">
            <w:pPr>
              <w:spacing w:after="0" w:line="240" w:lineRule="auto"/>
              <w:rPr>
                <w:color w:val="0D0D0D" w:themeColor="text1" w:themeTint="F2"/>
                <w:sz w:val="24"/>
              </w:rPr>
            </w:pPr>
          </w:p>
        </w:tc>
      </w:tr>
      <w:tr w:rsidR="00BE51FC" w14:paraId="6520F1E3" w14:textId="77777777">
        <w:tc>
          <w:tcPr>
            <w:tcW w:w="2972" w:type="dxa"/>
          </w:tcPr>
          <w:p w14:paraId="55871E91" w14:textId="77777777" w:rsidR="00BE51FC" w:rsidRDefault="00000000">
            <w:pPr>
              <w:spacing w:after="0" w:line="240" w:lineRule="auto"/>
              <w:rPr>
                <w:color w:val="0D0D0D" w:themeColor="text1" w:themeTint="F2"/>
                <w:sz w:val="24"/>
              </w:rPr>
            </w:pPr>
            <w:proofErr w:type="spellStart"/>
            <w:r>
              <w:rPr>
                <w:rFonts w:hint="eastAsia"/>
                <w:color w:val="0D0D0D" w:themeColor="text1" w:themeTint="F2"/>
                <w:sz w:val="24"/>
              </w:rPr>
              <w:t>会议类别</w:t>
            </w:r>
            <w:proofErr w:type="spellEnd"/>
          </w:p>
        </w:tc>
        <w:tc>
          <w:tcPr>
            <w:tcW w:w="5670" w:type="dxa"/>
            <w:gridSpan w:val="2"/>
          </w:tcPr>
          <w:p w14:paraId="3BAC896D" w14:textId="77777777" w:rsidR="00BE51FC" w:rsidRDefault="00000000">
            <w:pPr>
              <w:spacing w:after="0" w:line="240" w:lineRule="auto"/>
              <w:rPr>
                <w:color w:val="0D0D0D" w:themeColor="text1" w:themeTint="F2"/>
                <w:sz w:val="24"/>
                <w:lang w:eastAsia="zh-CN"/>
              </w:rPr>
            </w:pPr>
            <w:r>
              <w:rPr>
                <w:rFonts w:hint="eastAsia"/>
                <w:color w:val="0D0D0D" w:themeColor="text1" w:themeTint="F2"/>
                <w:sz w:val="24"/>
                <w:lang w:eastAsia="zh-CN"/>
              </w:rPr>
              <w:t xml:space="preserve">    （）股东大会   （）债权人大会</w:t>
            </w:r>
          </w:p>
        </w:tc>
      </w:tr>
      <w:tr w:rsidR="00BE51FC" w14:paraId="56F6DAE4" w14:textId="77777777">
        <w:tc>
          <w:tcPr>
            <w:tcW w:w="2972" w:type="dxa"/>
          </w:tcPr>
          <w:p w14:paraId="3BEC82C2" w14:textId="77777777" w:rsidR="00BE51FC" w:rsidRDefault="00000000">
            <w:pPr>
              <w:spacing w:after="0" w:line="240" w:lineRule="auto"/>
              <w:rPr>
                <w:color w:val="0D0D0D" w:themeColor="text1" w:themeTint="F2"/>
                <w:sz w:val="24"/>
              </w:rPr>
            </w:pPr>
            <w:proofErr w:type="spellStart"/>
            <w:r>
              <w:rPr>
                <w:rFonts w:hint="eastAsia"/>
                <w:color w:val="0D0D0D" w:themeColor="text1" w:themeTint="F2"/>
                <w:sz w:val="24"/>
              </w:rPr>
              <w:t>会议名称及日期</w:t>
            </w:r>
            <w:proofErr w:type="spellEnd"/>
          </w:p>
        </w:tc>
        <w:tc>
          <w:tcPr>
            <w:tcW w:w="5670" w:type="dxa"/>
            <w:gridSpan w:val="2"/>
          </w:tcPr>
          <w:p w14:paraId="7B611887" w14:textId="77777777" w:rsidR="00BE51FC" w:rsidRDefault="00BE51FC">
            <w:pPr>
              <w:spacing w:after="0" w:line="240" w:lineRule="auto"/>
              <w:rPr>
                <w:color w:val="0D0D0D" w:themeColor="text1" w:themeTint="F2"/>
                <w:sz w:val="24"/>
              </w:rPr>
            </w:pPr>
          </w:p>
        </w:tc>
      </w:tr>
      <w:tr w:rsidR="00BE51FC" w14:paraId="31DE287A" w14:textId="77777777">
        <w:trPr>
          <w:trHeight w:val="906"/>
        </w:trPr>
        <w:tc>
          <w:tcPr>
            <w:tcW w:w="2972" w:type="dxa"/>
            <w:vAlign w:val="center"/>
          </w:tcPr>
          <w:p w14:paraId="573853BD" w14:textId="77777777" w:rsidR="00BE51FC" w:rsidRDefault="00000000">
            <w:pPr>
              <w:spacing w:after="0" w:line="240" w:lineRule="auto"/>
              <w:jc w:val="center"/>
              <w:rPr>
                <w:color w:val="0D0D0D" w:themeColor="text1" w:themeTint="F2"/>
                <w:sz w:val="24"/>
              </w:rPr>
            </w:pPr>
            <w:proofErr w:type="spellStart"/>
            <w:r>
              <w:rPr>
                <w:rFonts w:hint="eastAsia"/>
                <w:color w:val="0D0D0D" w:themeColor="text1" w:themeTint="F2"/>
                <w:sz w:val="24"/>
              </w:rPr>
              <w:t>表决议案或事项</w:t>
            </w:r>
            <w:proofErr w:type="spellEnd"/>
          </w:p>
        </w:tc>
        <w:tc>
          <w:tcPr>
            <w:tcW w:w="5670" w:type="dxa"/>
            <w:gridSpan w:val="2"/>
          </w:tcPr>
          <w:p w14:paraId="26F15D9E" w14:textId="77777777" w:rsidR="00BE51FC" w:rsidRDefault="00BE51FC">
            <w:pPr>
              <w:spacing w:after="0" w:line="240" w:lineRule="auto"/>
              <w:rPr>
                <w:color w:val="0D0D0D" w:themeColor="text1" w:themeTint="F2"/>
                <w:sz w:val="24"/>
              </w:rPr>
            </w:pPr>
          </w:p>
          <w:p w14:paraId="14A135B7" w14:textId="77777777" w:rsidR="00BE51FC" w:rsidRDefault="00BE51FC">
            <w:pPr>
              <w:spacing w:after="0" w:line="240" w:lineRule="auto"/>
              <w:rPr>
                <w:color w:val="0D0D0D" w:themeColor="text1" w:themeTint="F2"/>
                <w:sz w:val="24"/>
              </w:rPr>
            </w:pPr>
          </w:p>
          <w:p w14:paraId="0796739E" w14:textId="77777777" w:rsidR="00BE51FC" w:rsidRDefault="00000000">
            <w:pPr>
              <w:spacing w:after="0" w:line="240" w:lineRule="auto"/>
              <w:ind w:firstLineChars="1500" w:firstLine="3600"/>
              <w:rPr>
                <w:color w:val="0D0D0D" w:themeColor="text1" w:themeTint="F2"/>
                <w:sz w:val="24"/>
              </w:rPr>
            </w:pPr>
            <w:r>
              <w:rPr>
                <w:color w:val="0D0D0D" w:themeColor="text1" w:themeTint="F2"/>
                <w:sz w:val="24"/>
              </w:rPr>
              <w:t xml:space="preserve"> </w:t>
            </w:r>
          </w:p>
        </w:tc>
      </w:tr>
      <w:tr w:rsidR="00BE51FC" w14:paraId="56AD8499" w14:textId="77777777">
        <w:tc>
          <w:tcPr>
            <w:tcW w:w="2972" w:type="dxa"/>
          </w:tcPr>
          <w:p w14:paraId="32C38D03" w14:textId="77777777" w:rsidR="00BE51FC" w:rsidRDefault="00000000">
            <w:pPr>
              <w:spacing w:after="0" w:line="240" w:lineRule="auto"/>
              <w:rPr>
                <w:color w:val="0D0D0D" w:themeColor="text1" w:themeTint="F2"/>
                <w:sz w:val="24"/>
                <w:lang w:eastAsia="zh-CN"/>
              </w:rPr>
            </w:pPr>
            <w:r>
              <w:rPr>
                <w:rFonts w:hint="eastAsia"/>
                <w:color w:val="0D0D0D" w:themeColor="text1" w:themeTint="F2"/>
                <w:sz w:val="24"/>
                <w:lang w:eastAsia="zh-CN"/>
              </w:rPr>
              <w:t>关联关系及利益冲突说明</w:t>
            </w:r>
          </w:p>
        </w:tc>
        <w:tc>
          <w:tcPr>
            <w:tcW w:w="5670" w:type="dxa"/>
            <w:gridSpan w:val="2"/>
          </w:tcPr>
          <w:p w14:paraId="13058AE1" w14:textId="77777777" w:rsidR="00BE51FC" w:rsidRDefault="00BE51FC">
            <w:pPr>
              <w:spacing w:after="0" w:line="240" w:lineRule="auto"/>
              <w:rPr>
                <w:color w:val="0D0D0D" w:themeColor="text1" w:themeTint="F2"/>
                <w:sz w:val="24"/>
                <w:lang w:eastAsia="zh-CN"/>
              </w:rPr>
            </w:pPr>
          </w:p>
        </w:tc>
      </w:tr>
      <w:tr w:rsidR="00BE51FC" w14:paraId="1AF0EE5C" w14:textId="77777777">
        <w:tc>
          <w:tcPr>
            <w:tcW w:w="2972" w:type="dxa"/>
          </w:tcPr>
          <w:p w14:paraId="59C4B786" w14:textId="77777777" w:rsidR="00BE51FC" w:rsidRDefault="00000000">
            <w:pPr>
              <w:spacing w:after="0" w:line="240" w:lineRule="auto"/>
              <w:rPr>
                <w:color w:val="0D0D0D" w:themeColor="text1" w:themeTint="F2"/>
                <w:sz w:val="24"/>
              </w:rPr>
            </w:pPr>
            <w:proofErr w:type="spellStart"/>
            <w:r>
              <w:rPr>
                <w:rFonts w:hint="eastAsia"/>
                <w:color w:val="0D0D0D" w:themeColor="text1" w:themeTint="F2"/>
                <w:sz w:val="24"/>
              </w:rPr>
              <w:t>参会方式</w:t>
            </w:r>
            <w:proofErr w:type="spellEnd"/>
          </w:p>
        </w:tc>
        <w:tc>
          <w:tcPr>
            <w:tcW w:w="5670" w:type="dxa"/>
            <w:gridSpan w:val="2"/>
          </w:tcPr>
          <w:p w14:paraId="6AC176A1" w14:textId="77777777" w:rsidR="00BE51FC" w:rsidRDefault="00000000">
            <w:pPr>
              <w:spacing w:after="0" w:line="240" w:lineRule="auto"/>
              <w:ind w:firstLineChars="300" w:firstLine="720"/>
              <w:rPr>
                <w:color w:val="0D0D0D" w:themeColor="text1" w:themeTint="F2"/>
                <w:sz w:val="24"/>
              </w:rPr>
            </w:pPr>
            <w:r>
              <w:rPr>
                <w:rFonts w:hint="eastAsia"/>
                <w:color w:val="0D0D0D" w:themeColor="text1" w:themeTint="F2"/>
                <w:sz w:val="24"/>
              </w:rPr>
              <w:t>（）</w:t>
            </w:r>
            <w:proofErr w:type="spellStart"/>
            <w:r>
              <w:rPr>
                <w:rFonts w:hint="eastAsia"/>
                <w:color w:val="0D0D0D" w:themeColor="text1" w:themeTint="F2"/>
                <w:sz w:val="24"/>
              </w:rPr>
              <w:t>线上</w:t>
            </w:r>
            <w:proofErr w:type="spellEnd"/>
            <w:r>
              <w:rPr>
                <w:rFonts w:hint="eastAsia"/>
                <w:color w:val="0D0D0D" w:themeColor="text1" w:themeTint="F2"/>
                <w:sz w:val="24"/>
              </w:rPr>
              <w:t xml:space="preserve">   （）</w:t>
            </w:r>
            <w:proofErr w:type="spellStart"/>
            <w:r>
              <w:rPr>
                <w:rFonts w:hint="eastAsia"/>
                <w:color w:val="0D0D0D" w:themeColor="text1" w:themeTint="F2"/>
                <w:sz w:val="24"/>
              </w:rPr>
              <w:t>非线上</w:t>
            </w:r>
            <w:proofErr w:type="spellEnd"/>
          </w:p>
        </w:tc>
      </w:tr>
      <w:tr w:rsidR="00BE51FC" w14:paraId="37360DE9" w14:textId="77777777">
        <w:tc>
          <w:tcPr>
            <w:tcW w:w="2972" w:type="dxa"/>
          </w:tcPr>
          <w:p w14:paraId="27F4FA2B" w14:textId="77777777" w:rsidR="00BE51FC" w:rsidRDefault="00000000">
            <w:pPr>
              <w:spacing w:after="0" w:line="240" w:lineRule="auto"/>
              <w:rPr>
                <w:color w:val="0D0D0D" w:themeColor="text1" w:themeTint="F2"/>
                <w:sz w:val="24"/>
              </w:rPr>
            </w:pPr>
            <w:proofErr w:type="spellStart"/>
            <w:r>
              <w:rPr>
                <w:rFonts w:hint="eastAsia"/>
                <w:color w:val="0D0D0D" w:themeColor="text1" w:themeTint="F2"/>
                <w:sz w:val="24"/>
              </w:rPr>
              <w:t>组合名称</w:t>
            </w:r>
            <w:proofErr w:type="spellEnd"/>
          </w:p>
        </w:tc>
        <w:tc>
          <w:tcPr>
            <w:tcW w:w="2552" w:type="dxa"/>
          </w:tcPr>
          <w:p w14:paraId="7C2E06AE" w14:textId="77777777" w:rsidR="00BE51FC" w:rsidRDefault="00000000">
            <w:pPr>
              <w:spacing w:after="0" w:line="240" w:lineRule="auto"/>
              <w:rPr>
                <w:color w:val="0D0D0D" w:themeColor="text1" w:themeTint="F2"/>
                <w:sz w:val="24"/>
              </w:rPr>
            </w:pPr>
            <w:proofErr w:type="spellStart"/>
            <w:r>
              <w:rPr>
                <w:rFonts w:hint="eastAsia"/>
                <w:color w:val="0D0D0D" w:themeColor="text1" w:themeTint="F2"/>
                <w:sz w:val="24"/>
              </w:rPr>
              <w:t>持有金额</w:t>
            </w:r>
            <w:proofErr w:type="spellEnd"/>
          </w:p>
        </w:tc>
        <w:tc>
          <w:tcPr>
            <w:tcW w:w="3118" w:type="dxa"/>
          </w:tcPr>
          <w:p w14:paraId="0CC330DC" w14:textId="77777777" w:rsidR="00BE51FC" w:rsidRDefault="00000000">
            <w:pPr>
              <w:spacing w:after="0" w:line="240" w:lineRule="auto"/>
              <w:rPr>
                <w:color w:val="0D0D0D" w:themeColor="text1" w:themeTint="F2"/>
                <w:sz w:val="24"/>
              </w:rPr>
            </w:pPr>
            <w:proofErr w:type="spellStart"/>
            <w:r>
              <w:rPr>
                <w:rFonts w:hint="eastAsia"/>
                <w:color w:val="0D0D0D" w:themeColor="text1" w:themeTint="F2"/>
                <w:sz w:val="24"/>
              </w:rPr>
              <w:t>投票建议</w:t>
            </w:r>
            <w:proofErr w:type="spellEnd"/>
          </w:p>
        </w:tc>
      </w:tr>
      <w:tr w:rsidR="00BE51FC" w14:paraId="7F2F488C" w14:textId="77777777">
        <w:tc>
          <w:tcPr>
            <w:tcW w:w="2972" w:type="dxa"/>
          </w:tcPr>
          <w:p w14:paraId="2FC08102" w14:textId="77777777" w:rsidR="00BE51FC" w:rsidRDefault="00BE51FC">
            <w:pPr>
              <w:spacing w:after="0" w:line="240" w:lineRule="auto"/>
              <w:rPr>
                <w:color w:val="0D0D0D" w:themeColor="text1" w:themeTint="F2"/>
                <w:sz w:val="24"/>
              </w:rPr>
            </w:pPr>
          </w:p>
        </w:tc>
        <w:tc>
          <w:tcPr>
            <w:tcW w:w="2552" w:type="dxa"/>
          </w:tcPr>
          <w:p w14:paraId="0721E9A5" w14:textId="77777777" w:rsidR="00BE51FC" w:rsidRDefault="00BE51FC">
            <w:pPr>
              <w:spacing w:after="0" w:line="240" w:lineRule="auto"/>
              <w:rPr>
                <w:color w:val="0D0D0D" w:themeColor="text1" w:themeTint="F2"/>
                <w:sz w:val="24"/>
              </w:rPr>
            </w:pPr>
          </w:p>
        </w:tc>
        <w:tc>
          <w:tcPr>
            <w:tcW w:w="3118" w:type="dxa"/>
          </w:tcPr>
          <w:p w14:paraId="3B0D1018" w14:textId="77777777" w:rsidR="00BE51FC" w:rsidRDefault="00BE51FC">
            <w:pPr>
              <w:spacing w:after="0" w:line="240" w:lineRule="auto"/>
              <w:rPr>
                <w:color w:val="0D0D0D" w:themeColor="text1" w:themeTint="F2"/>
                <w:sz w:val="24"/>
              </w:rPr>
            </w:pPr>
          </w:p>
        </w:tc>
      </w:tr>
      <w:tr w:rsidR="00BE51FC" w14:paraId="69E14FE4" w14:textId="77777777">
        <w:tc>
          <w:tcPr>
            <w:tcW w:w="2972" w:type="dxa"/>
          </w:tcPr>
          <w:p w14:paraId="53FF2F46" w14:textId="77777777" w:rsidR="00BE51FC" w:rsidRDefault="00BE51FC">
            <w:pPr>
              <w:spacing w:after="0" w:line="240" w:lineRule="auto"/>
              <w:rPr>
                <w:color w:val="0D0D0D" w:themeColor="text1" w:themeTint="F2"/>
                <w:sz w:val="24"/>
              </w:rPr>
            </w:pPr>
          </w:p>
        </w:tc>
        <w:tc>
          <w:tcPr>
            <w:tcW w:w="2552" w:type="dxa"/>
          </w:tcPr>
          <w:p w14:paraId="7FC5798D" w14:textId="77777777" w:rsidR="00BE51FC" w:rsidRDefault="00BE51FC">
            <w:pPr>
              <w:spacing w:after="0" w:line="240" w:lineRule="auto"/>
              <w:rPr>
                <w:color w:val="0D0D0D" w:themeColor="text1" w:themeTint="F2"/>
                <w:sz w:val="24"/>
              </w:rPr>
            </w:pPr>
          </w:p>
        </w:tc>
        <w:tc>
          <w:tcPr>
            <w:tcW w:w="3118" w:type="dxa"/>
          </w:tcPr>
          <w:p w14:paraId="55D5105B" w14:textId="77777777" w:rsidR="00BE51FC" w:rsidRDefault="00BE51FC">
            <w:pPr>
              <w:spacing w:after="0" w:line="240" w:lineRule="auto"/>
              <w:rPr>
                <w:color w:val="0D0D0D" w:themeColor="text1" w:themeTint="F2"/>
                <w:sz w:val="24"/>
              </w:rPr>
            </w:pPr>
          </w:p>
        </w:tc>
      </w:tr>
      <w:tr w:rsidR="00BE51FC" w14:paraId="6016473B" w14:textId="77777777">
        <w:tc>
          <w:tcPr>
            <w:tcW w:w="2972" w:type="dxa"/>
          </w:tcPr>
          <w:p w14:paraId="03C2E00F" w14:textId="77777777" w:rsidR="00BE51FC" w:rsidRDefault="00BE51FC">
            <w:pPr>
              <w:spacing w:after="0" w:line="240" w:lineRule="auto"/>
              <w:rPr>
                <w:color w:val="0D0D0D" w:themeColor="text1" w:themeTint="F2"/>
                <w:sz w:val="24"/>
              </w:rPr>
            </w:pPr>
          </w:p>
        </w:tc>
        <w:tc>
          <w:tcPr>
            <w:tcW w:w="2552" w:type="dxa"/>
          </w:tcPr>
          <w:p w14:paraId="661A4716" w14:textId="77777777" w:rsidR="00BE51FC" w:rsidRDefault="00BE51FC">
            <w:pPr>
              <w:spacing w:after="0" w:line="240" w:lineRule="auto"/>
              <w:rPr>
                <w:color w:val="0D0D0D" w:themeColor="text1" w:themeTint="F2"/>
                <w:sz w:val="24"/>
              </w:rPr>
            </w:pPr>
          </w:p>
        </w:tc>
        <w:tc>
          <w:tcPr>
            <w:tcW w:w="3118" w:type="dxa"/>
          </w:tcPr>
          <w:p w14:paraId="1925F435" w14:textId="77777777" w:rsidR="00BE51FC" w:rsidRDefault="00BE51FC">
            <w:pPr>
              <w:spacing w:after="0" w:line="240" w:lineRule="auto"/>
              <w:rPr>
                <w:color w:val="0D0D0D" w:themeColor="text1" w:themeTint="F2"/>
                <w:sz w:val="24"/>
              </w:rPr>
            </w:pPr>
          </w:p>
        </w:tc>
      </w:tr>
      <w:tr w:rsidR="00BE51FC" w14:paraId="021818FD" w14:textId="77777777">
        <w:tc>
          <w:tcPr>
            <w:tcW w:w="2972" w:type="dxa"/>
          </w:tcPr>
          <w:p w14:paraId="51B78231" w14:textId="77777777" w:rsidR="00BE51FC" w:rsidRDefault="00BE51FC">
            <w:pPr>
              <w:spacing w:after="0" w:line="240" w:lineRule="auto"/>
              <w:rPr>
                <w:color w:val="0D0D0D" w:themeColor="text1" w:themeTint="F2"/>
                <w:sz w:val="24"/>
              </w:rPr>
            </w:pPr>
          </w:p>
        </w:tc>
        <w:tc>
          <w:tcPr>
            <w:tcW w:w="2552" w:type="dxa"/>
          </w:tcPr>
          <w:p w14:paraId="080A70E3" w14:textId="77777777" w:rsidR="00BE51FC" w:rsidRDefault="00BE51FC">
            <w:pPr>
              <w:spacing w:after="0" w:line="240" w:lineRule="auto"/>
              <w:rPr>
                <w:color w:val="0D0D0D" w:themeColor="text1" w:themeTint="F2"/>
                <w:sz w:val="24"/>
              </w:rPr>
            </w:pPr>
          </w:p>
        </w:tc>
        <w:tc>
          <w:tcPr>
            <w:tcW w:w="3118" w:type="dxa"/>
          </w:tcPr>
          <w:p w14:paraId="13997B33" w14:textId="77777777" w:rsidR="00BE51FC" w:rsidRDefault="00BE51FC">
            <w:pPr>
              <w:spacing w:after="0" w:line="240" w:lineRule="auto"/>
              <w:rPr>
                <w:color w:val="0D0D0D" w:themeColor="text1" w:themeTint="F2"/>
                <w:sz w:val="24"/>
              </w:rPr>
            </w:pPr>
          </w:p>
        </w:tc>
      </w:tr>
      <w:tr w:rsidR="00BE51FC" w14:paraId="339FCE5F" w14:textId="77777777">
        <w:tc>
          <w:tcPr>
            <w:tcW w:w="2972" w:type="dxa"/>
          </w:tcPr>
          <w:p w14:paraId="718363FF" w14:textId="77777777" w:rsidR="00BE51FC" w:rsidRDefault="00BE51FC">
            <w:pPr>
              <w:spacing w:after="0" w:line="240" w:lineRule="auto"/>
              <w:rPr>
                <w:color w:val="0D0D0D" w:themeColor="text1" w:themeTint="F2"/>
                <w:sz w:val="24"/>
              </w:rPr>
            </w:pPr>
          </w:p>
        </w:tc>
        <w:tc>
          <w:tcPr>
            <w:tcW w:w="2552" w:type="dxa"/>
          </w:tcPr>
          <w:p w14:paraId="58A00F6B" w14:textId="77777777" w:rsidR="00BE51FC" w:rsidRDefault="00BE51FC">
            <w:pPr>
              <w:spacing w:after="0" w:line="240" w:lineRule="auto"/>
              <w:rPr>
                <w:color w:val="0D0D0D" w:themeColor="text1" w:themeTint="F2"/>
                <w:sz w:val="24"/>
              </w:rPr>
            </w:pPr>
          </w:p>
        </w:tc>
        <w:tc>
          <w:tcPr>
            <w:tcW w:w="3118" w:type="dxa"/>
          </w:tcPr>
          <w:p w14:paraId="0F7C6E4A" w14:textId="77777777" w:rsidR="00BE51FC" w:rsidRDefault="00BE51FC">
            <w:pPr>
              <w:spacing w:after="0" w:line="240" w:lineRule="auto"/>
              <w:rPr>
                <w:color w:val="0D0D0D" w:themeColor="text1" w:themeTint="F2"/>
                <w:sz w:val="24"/>
              </w:rPr>
            </w:pPr>
          </w:p>
        </w:tc>
      </w:tr>
      <w:tr w:rsidR="00BE51FC" w14:paraId="3D22AFCF" w14:textId="77777777">
        <w:tc>
          <w:tcPr>
            <w:tcW w:w="2972" w:type="dxa"/>
          </w:tcPr>
          <w:p w14:paraId="14BCE2EA" w14:textId="77777777" w:rsidR="00BE51FC" w:rsidRDefault="00000000">
            <w:pPr>
              <w:spacing w:after="0" w:line="240" w:lineRule="auto"/>
              <w:rPr>
                <w:color w:val="0D0D0D" w:themeColor="text1" w:themeTint="F2"/>
                <w:sz w:val="24"/>
              </w:rPr>
            </w:pPr>
            <w:proofErr w:type="spellStart"/>
            <w:r>
              <w:rPr>
                <w:rFonts w:hint="eastAsia"/>
                <w:color w:val="0D0D0D" w:themeColor="text1" w:themeTint="F2"/>
                <w:sz w:val="24"/>
              </w:rPr>
              <w:t>授权参会人员</w:t>
            </w:r>
            <w:proofErr w:type="spellEnd"/>
          </w:p>
        </w:tc>
        <w:tc>
          <w:tcPr>
            <w:tcW w:w="2552" w:type="dxa"/>
          </w:tcPr>
          <w:p w14:paraId="2D59DAAA" w14:textId="77777777" w:rsidR="00BE51FC" w:rsidRDefault="00BE51FC">
            <w:pPr>
              <w:spacing w:after="0" w:line="240" w:lineRule="auto"/>
              <w:rPr>
                <w:color w:val="0D0D0D" w:themeColor="text1" w:themeTint="F2"/>
                <w:sz w:val="24"/>
              </w:rPr>
            </w:pPr>
          </w:p>
        </w:tc>
        <w:tc>
          <w:tcPr>
            <w:tcW w:w="3118" w:type="dxa"/>
          </w:tcPr>
          <w:p w14:paraId="6B267350" w14:textId="77777777" w:rsidR="00BE51FC" w:rsidRDefault="00000000">
            <w:pPr>
              <w:spacing w:after="0" w:line="240" w:lineRule="auto"/>
              <w:rPr>
                <w:color w:val="0D0D0D" w:themeColor="text1" w:themeTint="F2"/>
                <w:sz w:val="24"/>
              </w:rPr>
            </w:pPr>
            <w:proofErr w:type="spellStart"/>
            <w:r>
              <w:rPr>
                <w:rFonts w:hint="eastAsia"/>
                <w:color w:val="0D0D0D" w:themeColor="text1" w:themeTint="F2"/>
                <w:sz w:val="24"/>
              </w:rPr>
              <w:t>授权期限</w:t>
            </w:r>
            <w:proofErr w:type="spellEnd"/>
          </w:p>
        </w:tc>
      </w:tr>
      <w:tr w:rsidR="00BE51FC" w14:paraId="7D677D80" w14:textId="77777777">
        <w:tc>
          <w:tcPr>
            <w:tcW w:w="2972" w:type="dxa"/>
          </w:tcPr>
          <w:p w14:paraId="76BF79D4" w14:textId="77777777" w:rsidR="00BE51FC" w:rsidRDefault="00000000">
            <w:pPr>
              <w:spacing w:after="0" w:line="240" w:lineRule="auto"/>
              <w:rPr>
                <w:color w:val="0D0D0D" w:themeColor="text1" w:themeTint="F2"/>
                <w:sz w:val="24"/>
              </w:rPr>
            </w:pPr>
            <w:proofErr w:type="spellStart"/>
            <w:r>
              <w:rPr>
                <w:rFonts w:hint="eastAsia"/>
                <w:color w:val="0D0D0D" w:themeColor="text1" w:themeTint="F2"/>
                <w:sz w:val="24"/>
              </w:rPr>
              <w:t>研究分管副总审核</w:t>
            </w:r>
            <w:proofErr w:type="spellEnd"/>
          </w:p>
        </w:tc>
        <w:tc>
          <w:tcPr>
            <w:tcW w:w="5670" w:type="dxa"/>
            <w:gridSpan w:val="2"/>
          </w:tcPr>
          <w:p w14:paraId="2AB1ADDB" w14:textId="77777777" w:rsidR="00BE51FC" w:rsidRDefault="00BE51FC">
            <w:pPr>
              <w:spacing w:after="0" w:line="240" w:lineRule="auto"/>
              <w:rPr>
                <w:color w:val="0D0D0D" w:themeColor="text1" w:themeTint="F2"/>
                <w:sz w:val="24"/>
              </w:rPr>
            </w:pPr>
          </w:p>
        </w:tc>
      </w:tr>
      <w:tr w:rsidR="00BE51FC" w14:paraId="614D6EAD" w14:textId="77777777">
        <w:tc>
          <w:tcPr>
            <w:tcW w:w="2972" w:type="dxa"/>
          </w:tcPr>
          <w:p w14:paraId="06469AA1" w14:textId="238C3717" w:rsidR="00BE51FC" w:rsidRDefault="008E1584">
            <w:pPr>
              <w:spacing w:after="0" w:line="240" w:lineRule="auto"/>
              <w:rPr>
                <w:color w:val="0D0D0D" w:themeColor="text1" w:themeTint="F2"/>
                <w:sz w:val="24"/>
              </w:rPr>
            </w:pPr>
            <w:proofErr w:type="gramStart"/>
            <w:r>
              <w:rPr>
                <w:rFonts w:ascii="宋体" w:eastAsia="宋体" w:hAnsi="宋体" w:cs="宋体" w:hint="eastAsia"/>
                <w:color w:val="0D0D0D" w:themeColor="text1" w:themeTint="F2"/>
                <w:sz w:val="24"/>
                <w:lang w:eastAsia="zh-CN"/>
              </w:rPr>
              <w:t>风控审批</w:t>
            </w:r>
            <w:proofErr w:type="gramEnd"/>
          </w:p>
        </w:tc>
        <w:tc>
          <w:tcPr>
            <w:tcW w:w="5670" w:type="dxa"/>
            <w:gridSpan w:val="2"/>
          </w:tcPr>
          <w:p w14:paraId="5DA6C12B" w14:textId="77777777" w:rsidR="00BE51FC" w:rsidRDefault="00BE51FC">
            <w:pPr>
              <w:spacing w:after="0" w:line="240" w:lineRule="auto"/>
              <w:rPr>
                <w:color w:val="0D0D0D" w:themeColor="text1" w:themeTint="F2"/>
                <w:sz w:val="24"/>
              </w:rPr>
            </w:pPr>
          </w:p>
        </w:tc>
      </w:tr>
      <w:tr w:rsidR="00BE51FC" w14:paraId="694C76BB" w14:textId="77777777">
        <w:tc>
          <w:tcPr>
            <w:tcW w:w="2972" w:type="dxa"/>
          </w:tcPr>
          <w:p w14:paraId="729BDDCD" w14:textId="552A2E64" w:rsidR="00BE51FC" w:rsidRPr="008E1584" w:rsidRDefault="008E1584">
            <w:pPr>
              <w:spacing w:after="0" w:line="240" w:lineRule="auto"/>
              <w:rPr>
                <w:rFonts w:eastAsia="宋体" w:hint="eastAsia"/>
                <w:color w:val="0D0D0D" w:themeColor="text1" w:themeTint="F2"/>
                <w:sz w:val="24"/>
                <w:lang w:eastAsia="zh-CN"/>
              </w:rPr>
            </w:pPr>
            <w:r>
              <w:rPr>
                <w:rFonts w:ascii="宋体" w:eastAsia="宋体" w:hAnsi="宋体" w:cs="宋体" w:hint="eastAsia"/>
                <w:color w:val="0D0D0D" w:themeColor="text1" w:themeTint="F2"/>
                <w:sz w:val="24"/>
                <w:lang w:eastAsia="zh-CN"/>
              </w:rPr>
              <w:t>合</w:t>
            </w:r>
            <w:proofErr w:type="gramStart"/>
            <w:r>
              <w:rPr>
                <w:rFonts w:ascii="宋体" w:eastAsia="宋体" w:hAnsi="宋体" w:cs="宋体" w:hint="eastAsia"/>
                <w:color w:val="0D0D0D" w:themeColor="text1" w:themeTint="F2"/>
                <w:sz w:val="24"/>
                <w:lang w:eastAsia="zh-CN"/>
              </w:rPr>
              <w:t>规</w:t>
            </w:r>
            <w:proofErr w:type="gramEnd"/>
            <w:r>
              <w:rPr>
                <w:rFonts w:ascii="宋体" w:eastAsia="宋体" w:hAnsi="宋体" w:cs="宋体" w:hint="eastAsia"/>
                <w:color w:val="0D0D0D" w:themeColor="text1" w:themeTint="F2"/>
                <w:sz w:val="24"/>
                <w:lang w:eastAsia="zh-CN"/>
              </w:rPr>
              <w:t>审批</w:t>
            </w:r>
          </w:p>
        </w:tc>
        <w:tc>
          <w:tcPr>
            <w:tcW w:w="5670" w:type="dxa"/>
            <w:gridSpan w:val="2"/>
          </w:tcPr>
          <w:p w14:paraId="60990472" w14:textId="77777777" w:rsidR="00BE51FC" w:rsidRDefault="00BE51FC">
            <w:pPr>
              <w:spacing w:after="0" w:line="240" w:lineRule="auto"/>
              <w:rPr>
                <w:color w:val="0D0D0D" w:themeColor="text1" w:themeTint="F2"/>
                <w:sz w:val="24"/>
              </w:rPr>
            </w:pPr>
          </w:p>
        </w:tc>
      </w:tr>
      <w:tr w:rsidR="00BE51FC" w14:paraId="464A6897" w14:textId="77777777">
        <w:tc>
          <w:tcPr>
            <w:tcW w:w="2972" w:type="dxa"/>
          </w:tcPr>
          <w:p w14:paraId="3573E4A9" w14:textId="77777777" w:rsidR="00BE51FC" w:rsidRDefault="00000000">
            <w:pPr>
              <w:spacing w:after="0" w:line="240" w:lineRule="auto"/>
              <w:rPr>
                <w:color w:val="0D0D0D" w:themeColor="text1" w:themeTint="F2"/>
                <w:sz w:val="24"/>
              </w:rPr>
            </w:pPr>
            <w:proofErr w:type="spellStart"/>
            <w:r>
              <w:rPr>
                <w:rFonts w:hint="eastAsia"/>
                <w:color w:val="0D0D0D" w:themeColor="text1" w:themeTint="F2"/>
                <w:sz w:val="24"/>
              </w:rPr>
              <w:t>督察长意见</w:t>
            </w:r>
            <w:proofErr w:type="spellEnd"/>
          </w:p>
        </w:tc>
        <w:tc>
          <w:tcPr>
            <w:tcW w:w="5670" w:type="dxa"/>
            <w:gridSpan w:val="2"/>
          </w:tcPr>
          <w:p w14:paraId="3A18037B" w14:textId="77777777" w:rsidR="00BE51FC" w:rsidRDefault="00BE51FC">
            <w:pPr>
              <w:spacing w:after="0" w:line="240" w:lineRule="auto"/>
              <w:rPr>
                <w:color w:val="0D0D0D" w:themeColor="text1" w:themeTint="F2"/>
                <w:sz w:val="24"/>
              </w:rPr>
            </w:pPr>
          </w:p>
        </w:tc>
      </w:tr>
      <w:tr w:rsidR="00BE51FC" w14:paraId="62C5B1C0" w14:textId="77777777">
        <w:tc>
          <w:tcPr>
            <w:tcW w:w="2972" w:type="dxa"/>
          </w:tcPr>
          <w:p w14:paraId="2F9B39B4" w14:textId="77777777" w:rsidR="00BE51FC" w:rsidRDefault="00000000">
            <w:pPr>
              <w:spacing w:after="0" w:line="240" w:lineRule="auto"/>
              <w:rPr>
                <w:color w:val="0D0D0D" w:themeColor="text1" w:themeTint="F2"/>
                <w:sz w:val="24"/>
              </w:rPr>
            </w:pPr>
            <w:proofErr w:type="spellStart"/>
            <w:r>
              <w:rPr>
                <w:rFonts w:hint="eastAsia"/>
                <w:color w:val="0D0D0D" w:themeColor="text1" w:themeTint="F2"/>
                <w:sz w:val="24"/>
              </w:rPr>
              <w:t>总经理审批</w:t>
            </w:r>
            <w:proofErr w:type="spellEnd"/>
          </w:p>
        </w:tc>
        <w:tc>
          <w:tcPr>
            <w:tcW w:w="5670" w:type="dxa"/>
            <w:gridSpan w:val="2"/>
          </w:tcPr>
          <w:p w14:paraId="710187DA" w14:textId="77777777" w:rsidR="00BE51FC" w:rsidRDefault="00BE51FC">
            <w:pPr>
              <w:spacing w:after="0" w:line="240" w:lineRule="auto"/>
              <w:rPr>
                <w:color w:val="0D0D0D" w:themeColor="text1" w:themeTint="F2"/>
                <w:sz w:val="24"/>
              </w:rPr>
            </w:pPr>
          </w:p>
        </w:tc>
      </w:tr>
      <w:tr w:rsidR="00BE51FC" w14:paraId="7A6678E9" w14:textId="77777777">
        <w:tc>
          <w:tcPr>
            <w:tcW w:w="2972" w:type="dxa"/>
          </w:tcPr>
          <w:p w14:paraId="554100D2" w14:textId="77777777" w:rsidR="00BE51FC" w:rsidRDefault="00000000">
            <w:pPr>
              <w:spacing w:after="0" w:line="240" w:lineRule="auto"/>
              <w:rPr>
                <w:color w:val="0D0D0D" w:themeColor="text1" w:themeTint="F2"/>
                <w:sz w:val="24"/>
              </w:rPr>
            </w:pPr>
            <w:proofErr w:type="spellStart"/>
            <w:r>
              <w:rPr>
                <w:rFonts w:hint="eastAsia"/>
                <w:color w:val="0D0D0D" w:themeColor="text1" w:themeTint="F2"/>
                <w:sz w:val="24"/>
              </w:rPr>
              <w:t>交易部执行</w:t>
            </w:r>
            <w:proofErr w:type="spellEnd"/>
          </w:p>
        </w:tc>
        <w:tc>
          <w:tcPr>
            <w:tcW w:w="5670" w:type="dxa"/>
            <w:gridSpan w:val="2"/>
          </w:tcPr>
          <w:p w14:paraId="39C94B9C" w14:textId="77777777" w:rsidR="00BE51FC" w:rsidRDefault="00BE51FC">
            <w:pPr>
              <w:spacing w:after="0" w:line="240" w:lineRule="auto"/>
              <w:rPr>
                <w:color w:val="0D0D0D" w:themeColor="text1" w:themeTint="F2"/>
                <w:sz w:val="24"/>
              </w:rPr>
            </w:pPr>
          </w:p>
        </w:tc>
      </w:tr>
      <w:tr w:rsidR="00BE51FC" w14:paraId="79B83146" w14:textId="77777777">
        <w:tc>
          <w:tcPr>
            <w:tcW w:w="2972" w:type="dxa"/>
          </w:tcPr>
          <w:p w14:paraId="4839694C" w14:textId="77777777" w:rsidR="00BE51FC" w:rsidRDefault="00000000">
            <w:pPr>
              <w:spacing w:after="0" w:line="240" w:lineRule="auto"/>
              <w:rPr>
                <w:color w:val="0D0D0D" w:themeColor="text1" w:themeTint="F2"/>
                <w:sz w:val="24"/>
              </w:rPr>
            </w:pPr>
            <w:proofErr w:type="spellStart"/>
            <w:r>
              <w:rPr>
                <w:rFonts w:hint="eastAsia"/>
                <w:color w:val="0D0D0D" w:themeColor="text1" w:themeTint="F2"/>
                <w:sz w:val="24"/>
              </w:rPr>
              <w:t>申请人确认</w:t>
            </w:r>
            <w:proofErr w:type="spellEnd"/>
          </w:p>
        </w:tc>
        <w:tc>
          <w:tcPr>
            <w:tcW w:w="5670" w:type="dxa"/>
            <w:gridSpan w:val="2"/>
          </w:tcPr>
          <w:p w14:paraId="5D895CC1" w14:textId="77777777" w:rsidR="00BE51FC" w:rsidRDefault="00BE51FC">
            <w:pPr>
              <w:spacing w:after="0" w:line="240" w:lineRule="auto"/>
              <w:rPr>
                <w:color w:val="0D0D0D" w:themeColor="text1" w:themeTint="F2"/>
                <w:sz w:val="24"/>
              </w:rPr>
            </w:pPr>
          </w:p>
        </w:tc>
      </w:tr>
    </w:tbl>
    <w:p w14:paraId="4F26A55A" w14:textId="77777777" w:rsidR="00BE51FC" w:rsidRDefault="00BE51FC">
      <w:pPr>
        <w:spacing w:before="160" w:after="0" w:line="288" w:lineRule="auto"/>
        <w:jc w:val="both"/>
        <w:rPr>
          <w:rFonts w:ascii="宋体" w:eastAsia="宋体" w:hAnsi="宋体" w:hint="eastAsia"/>
          <w:lang w:eastAsia="zh-CN"/>
        </w:rPr>
      </w:pPr>
    </w:p>
    <w:sectPr w:rsidR="00BE51FC">
      <w:footerReference w:type="default" r:id="rId8"/>
      <w:pgSz w:w="11906" w:h="16838"/>
      <w:pgMar w:top="1304" w:right="1417" w:bottom="124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7101" w14:textId="77777777" w:rsidR="00472164" w:rsidRDefault="00472164">
      <w:pPr>
        <w:spacing w:line="240" w:lineRule="auto"/>
      </w:pPr>
      <w:r>
        <w:separator/>
      </w:r>
    </w:p>
  </w:endnote>
  <w:endnote w:type="continuationSeparator" w:id="0">
    <w:p w14:paraId="23BACCC5" w14:textId="77777777" w:rsidR="00472164" w:rsidRDefault="004721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Noto Serif CJK SC">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07937"/>
    </w:sdtPr>
    <w:sdtContent>
      <w:p w14:paraId="0A80091D" w14:textId="77777777" w:rsidR="00BE51FC" w:rsidRDefault="00000000">
        <w:pPr>
          <w:pStyle w:val="ac"/>
          <w:jc w:val="center"/>
        </w:pPr>
        <w:r>
          <w:fldChar w:fldCharType="begin"/>
        </w:r>
        <w:r>
          <w:instrText>PAGE   \* MERGEFORMAT</w:instrText>
        </w:r>
        <w:r>
          <w:fldChar w:fldCharType="separate"/>
        </w:r>
        <w:r>
          <w:rPr>
            <w:lang w:val="zh-CN" w:eastAsia="zh-CN"/>
          </w:rPr>
          <w:t>2</w:t>
        </w:r>
        <w:r>
          <w:fldChar w:fldCharType="end"/>
        </w:r>
      </w:p>
    </w:sdtContent>
  </w:sdt>
  <w:p w14:paraId="2AC23AED" w14:textId="77777777" w:rsidR="00BE51FC" w:rsidRDefault="00BE51F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AE0E4" w14:textId="77777777" w:rsidR="00472164" w:rsidRDefault="00472164">
      <w:pPr>
        <w:spacing w:after="0"/>
      </w:pPr>
      <w:r>
        <w:separator/>
      </w:r>
    </w:p>
  </w:footnote>
  <w:footnote w:type="continuationSeparator" w:id="0">
    <w:p w14:paraId="47DFEC21" w14:textId="77777777" w:rsidR="00472164" w:rsidRDefault="004721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16cid:durableId="1202014251">
    <w:abstractNumId w:val="1"/>
  </w:num>
  <w:num w:numId="2" w16cid:durableId="855653331">
    <w:abstractNumId w:val="4"/>
  </w:num>
  <w:num w:numId="3" w16cid:durableId="1789933955">
    <w:abstractNumId w:val="5"/>
  </w:num>
  <w:num w:numId="4" w16cid:durableId="1011492478">
    <w:abstractNumId w:val="2"/>
  </w:num>
  <w:num w:numId="5" w16cid:durableId="1604461757">
    <w:abstractNumId w:val="0"/>
  </w:num>
  <w:num w:numId="6" w16cid:durableId="1874463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6646"/>
    <w:rsid w:val="0015074B"/>
    <w:rsid w:val="001A7C10"/>
    <w:rsid w:val="00251375"/>
    <w:rsid w:val="0029639D"/>
    <w:rsid w:val="00326F90"/>
    <w:rsid w:val="003F2C6E"/>
    <w:rsid w:val="004037F1"/>
    <w:rsid w:val="00472164"/>
    <w:rsid w:val="00523B00"/>
    <w:rsid w:val="0059155A"/>
    <w:rsid w:val="00891744"/>
    <w:rsid w:val="008E1584"/>
    <w:rsid w:val="008E2B8D"/>
    <w:rsid w:val="008F5830"/>
    <w:rsid w:val="00AA1D8D"/>
    <w:rsid w:val="00AB5C11"/>
    <w:rsid w:val="00AC6B5D"/>
    <w:rsid w:val="00B47730"/>
    <w:rsid w:val="00BE51FC"/>
    <w:rsid w:val="00C56FA8"/>
    <w:rsid w:val="00CB0664"/>
    <w:rsid w:val="00DB406E"/>
    <w:rsid w:val="00E019EF"/>
    <w:rsid w:val="00F04A3C"/>
    <w:rsid w:val="00FC693F"/>
    <w:rsid w:val="099B416D"/>
    <w:rsid w:val="667A4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C6A749"/>
  <w14:defaultImageDpi w14:val="300"/>
  <w15:docId w15:val="{06AEA43D-6B6E-4D1D-AF7F-1319EEDC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qFormat="1"/>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qFormat="1"/>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qFormat="1"/>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200" w:line="276" w:lineRule="auto"/>
    </w:pPr>
    <w:rPr>
      <w:rFonts w:ascii="Noto Serif CJK SC" w:eastAsia="Noto Serif CJK SC" w:hAnsi="Noto Serif CJK SC"/>
      <w:sz w:val="22"/>
      <w:szCs w:val="22"/>
      <w:lang w:eastAsia="en-US"/>
    </w:rPr>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eastAsia="en-US"/>
    </w:rPr>
  </w:style>
  <w:style w:type="paragraph" w:styleId="33">
    <w:name w:val="List 3"/>
    <w:basedOn w:val="a1"/>
    <w:uiPriority w:val="99"/>
    <w:unhideWhenUsed/>
    <w:pPr>
      <w:ind w:left="1080" w:hanging="360"/>
      <w:contextualSpacing/>
    </w:pPr>
  </w:style>
  <w:style w:type="paragraph" w:styleId="2">
    <w:name w:val="List Number 2"/>
    <w:basedOn w:val="a1"/>
    <w:uiPriority w:val="99"/>
    <w:unhideWhenUsed/>
    <w:pPr>
      <w:numPr>
        <w:numId w:val="1"/>
      </w:numPr>
      <w:contextualSpacing/>
    </w:pPr>
  </w:style>
  <w:style w:type="paragraph" w:styleId="a">
    <w:name w:val="List Number"/>
    <w:basedOn w:val="a1"/>
    <w:uiPriority w:val="99"/>
    <w:unhideWhenUsed/>
    <w:pPr>
      <w:numPr>
        <w:numId w:val="2"/>
      </w:numPr>
      <w:contextualSpacing/>
    </w:pPr>
  </w:style>
  <w:style w:type="paragraph" w:styleId="a7">
    <w:name w:val="caption"/>
    <w:basedOn w:val="a1"/>
    <w:next w:val="a1"/>
    <w:uiPriority w:val="35"/>
    <w:semiHidden/>
    <w:unhideWhenUsed/>
    <w:qFormat/>
    <w:pPr>
      <w:spacing w:line="240" w:lineRule="auto"/>
    </w:pPr>
    <w:rPr>
      <w:b/>
      <w:bCs/>
      <w:color w:val="4F81BD" w:themeColor="accent1"/>
      <w:sz w:val="18"/>
      <w:szCs w:val="18"/>
    </w:rPr>
  </w:style>
  <w:style w:type="paragraph" w:styleId="a0">
    <w:name w:val="List Bullet"/>
    <w:basedOn w:val="a1"/>
    <w:uiPriority w:val="99"/>
    <w:unhideWhenUsed/>
    <w:pPr>
      <w:numPr>
        <w:numId w:val="3"/>
      </w:numPr>
      <w:contextualSpacing/>
    </w:pPr>
  </w:style>
  <w:style w:type="paragraph" w:styleId="a8">
    <w:name w:val="annotation text"/>
    <w:basedOn w:val="a1"/>
    <w:uiPriority w:val="99"/>
    <w:semiHidden/>
    <w:unhideWhenUsed/>
  </w:style>
  <w:style w:type="paragraph" w:styleId="34">
    <w:name w:val="Body Text 3"/>
    <w:basedOn w:val="a1"/>
    <w:link w:val="35"/>
    <w:uiPriority w:val="99"/>
    <w:unhideWhenUsed/>
    <w:pPr>
      <w:spacing w:after="120"/>
    </w:pPr>
    <w:rPr>
      <w:sz w:val="16"/>
      <w:szCs w:val="16"/>
    </w:rPr>
  </w:style>
  <w:style w:type="paragraph" w:styleId="30">
    <w:name w:val="List Bullet 3"/>
    <w:basedOn w:val="a1"/>
    <w:uiPriority w:val="99"/>
    <w:unhideWhenUsed/>
    <w:pPr>
      <w:numPr>
        <w:numId w:val="4"/>
      </w:numPr>
      <w:contextualSpacing/>
    </w:pPr>
  </w:style>
  <w:style w:type="paragraph" w:styleId="a9">
    <w:name w:val="Body Text"/>
    <w:basedOn w:val="a1"/>
    <w:link w:val="aa"/>
    <w:uiPriority w:val="99"/>
    <w:unhideWhenUsed/>
    <w:pPr>
      <w:spacing w:after="120"/>
    </w:pPr>
  </w:style>
  <w:style w:type="paragraph" w:styleId="3">
    <w:name w:val="List Number 3"/>
    <w:basedOn w:val="a1"/>
    <w:uiPriority w:val="99"/>
    <w:unhideWhenUsed/>
    <w:pPr>
      <w:numPr>
        <w:numId w:val="5"/>
      </w:numPr>
      <w:contextualSpacing/>
    </w:pPr>
  </w:style>
  <w:style w:type="paragraph" w:styleId="23">
    <w:name w:val="List 2"/>
    <w:basedOn w:val="a1"/>
    <w:uiPriority w:val="99"/>
    <w:unhideWhenUsed/>
    <w:pPr>
      <w:ind w:left="720" w:hanging="360"/>
      <w:contextualSpacing/>
    </w:pPr>
  </w:style>
  <w:style w:type="paragraph" w:styleId="ab">
    <w:name w:val="List Continue"/>
    <w:basedOn w:val="a1"/>
    <w:uiPriority w:val="99"/>
    <w:unhideWhenUsed/>
    <w:pPr>
      <w:spacing w:after="120"/>
      <w:ind w:left="360"/>
      <w:contextualSpacing/>
    </w:pPr>
  </w:style>
  <w:style w:type="paragraph" w:styleId="20">
    <w:name w:val="List Bullet 2"/>
    <w:basedOn w:val="a1"/>
    <w:uiPriority w:val="99"/>
    <w:unhideWhenUsed/>
    <w:pPr>
      <w:numPr>
        <w:numId w:val="6"/>
      </w:numPr>
      <w:contextualSpacing/>
    </w:pPr>
  </w:style>
  <w:style w:type="paragraph" w:styleId="ac">
    <w:name w:val="footer"/>
    <w:basedOn w:val="a1"/>
    <w:link w:val="ad"/>
    <w:uiPriority w:val="99"/>
    <w:unhideWhenUsed/>
    <w:qFormat/>
    <w:pPr>
      <w:tabs>
        <w:tab w:val="center" w:pos="4680"/>
        <w:tab w:val="right" w:pos="9360"/>
      </w:tabs>
      <w:spacing w:after="0" w:line="240" w:lineRule="auto"/>
    </w:pPr>
  </w:style>
  <w:style w:type="paragraph" w:styleId="ae">
    <w:name w:val="header"/>
    <w:basedOn w:val="a1"/>
    <w:link w:val="af"/>
    <w:uiPriority w:val="99"/>
    <w:unhideWhenUsed/>
    <w:qFormat/>
    <w:pPr>
      <w:tabs>
        <w:tab w:val="center" w:pos="4680"/>
        <w:tab w:val="right" w:pos="9360"/>
      </w:tabs>
      <w:spacing w:after="0" w:line="240" w:lineRule="auto"/>
    </w:pPr>
  </w:style>
  <w:style w:type="paragraph" w:styleId="af0">
    <w:name w:val="Subtitle"/>
    <w:basedOn w:val="a1"/>
    <w:next w:val="a1"/>
    <w:link w:val="af1"/>
    <w:uiPriority w:val="11"/>
    <w:qFormat/>
    <w:rPr>
      <w:rFonts w:asciiTheme="majorHAnsi" w:eastAsiaTheme="majorEastAsia" w:hAnsiTheme="majorHAnsi" w:cstheme="majorBidi"/>
      <w:i/>
      <w:iCs/>
      <w:color w:val="4F81BD" w:themeColor="accent1"/>
      <w:spacing w:val="15"/>
      <w:sz w:val="24"/>
      <w:szCs w:val="24"/>
    </w:rPr>
  </w:style>
  <w:style w:type="paragraph" w:styleId="af2">
    <w:name w:val="List"/>
    <w:basedOn w:val="a1"/>
    <w:uiPriority w:val="99"/>
    <w:unhideWhenUsed/>
    <w:pPr>
      <w:ind w:left="360" w:hanging="360"/>
      <w:contextualSpacing/>
    </w:pPr>
  </w:style>
  <w:style w:type="paragraph" w:styleId="24">
    <w:name w:val="Body Text 2"/>
    <w:basedOn w:val="a1"/>
    <w:link w:val="25"/>
    <w:uiPriority w:val="99"/>
    <w:unhideWhenUsed/>
    <w:pPr>
      <w:spacing w:after="120" w:line="480" w:lineRule="auto"/>
    </w:pPr>
  </w:style>
  <w:style w:type="paragraph" w:styleId="26">
    <w:name w:val="List Continue 2"/>
    <w:basedOn w:val="a1"/>
    <w:uiPriority w:val="99"/>
    <w:unhideWhenUsed/>
    <w:pPr>
      <w:spacing w:after="120"/>
      <w:ind w:left="720"/>
      <w:contextualSpacing/>
    </w:pPr>
  </w:style>
  <w:style w:type="paragraph" w:styleId="36">
    <w:name w:val="List Continue 3"/>
    <w:basedOn w:val="a1"/>
    <w:uiPriority w:val="99"/>
    <w:unhideWhenUsed/>
    <w:pPr>
      <w:spacing w:after="120"/>
      <w:ind w:left="1080"/>
      <w:contextualSpacing/>
    </w:pPr>
  </w:style>
  <w:style w:type="paragraph" w:styleId="af3">
    <w:name w:val="Title"/>
    <w:basedOn w:val="a1"/>
    <w:next w:val="a1"/>
    <w:link w:val="af4"/>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0"/>
      <w:szCs w:val="52"/>
    </w:rPr>
  </w:style>
  <w:style w:type="table" w:styleId="af5">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Light Shading"/>
    <w:basedOn w:val="a3"/>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7">
    <w:name w:val="Light List"/>
    <w:basedOn w:val="a3"/>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8">
    <w:name w:val="Light Grid"/>
    <w:basedOn w:val="a3"/>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1">
    <w:name w:val="Medium Shading 1"/>
    <w:basedOn w:val="a3"/>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9">
    <w:name w:val="Dark List"/>
    <w:basedOn w:val="a3"/>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a">
    <w:name w:val="Colorful Shading"/>
    <w:basedOn w:val="a3"/>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b">
    <w:name w:val="Colorful List"/>
    <w:basedOn w:val="a3"/>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c">
    <w:name w:val="Colorful Grid"/>
    <w:basedOn w:val="a3"/>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d">
    <w:name w:val="Strong"/>
    <w:basedOn w:val="a2"/>
    <w:uiPriority w:val="22"/>
    <w:qFormat/>
    <w:rPr>
      <w:b/>
      <w:bCs/>
    </w:rPr>
  </w:style>
  <w:style w:type="character" w:styleId="afe">
    <w:name w:val="Emphasis"/>
    <w:basedOn w:val="a2"/>
    <w:uiPriority w:val="20"/>
    <w:qFormat/>
    <w:rPr>
      <w:i/>
      <w:iCs/>
    </w:rPr>
  </w:style>
  <w:style w:type="character" w:customStyle="1" w:styleId="af">
    <w:name w:val="页眉 字符"/>
    <w:basedOn w:val="a2"/>
    <w:link w:val="ae"/>
    <w:uiPriority w:val="99"/>
    <w:qFormat/>
  </w:style>
  <w:style w:type="character" w:customStyle="1" w:styleId="ad">
    <w:name w:val="页脚 字符"/>
    <w:basedOn w:val="a2"/>
    <w:link w:val="ac"/>
    <w:uiPriority w:val="99"/>
    <w:qFormat/>
  </w:style>
  <w:style w:type="paragraph" w:styleId="aff">
    <w:name w:val="No Spacing"/>
    <w:uiPriority w:val="1"/>
    <w:qFormat/>
    <w:rPr>
      <w:sz w:val="22"/>
      <w:szCs w:val="22"/>
      <w:lang w:eastAsia="en-US"/>
    </w:rPr>
  </w:style>
  <w:style w:type="character" w:customStyle="1" w:styleId="10">
    <w:name w:val="标题 1 字符"/>
    <w:basedOn w:val="a2"/>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qFormat/>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qFormat/>
    <w:rPr>
      <w:rFonts w:asciiTheme="majorHAnsi" w:eastAsiaTheme="majorEastAsia" w:hAnsiTheme="majorHAnsi" w:cstheme="majorBidi"/>
      <w:b/>
      <w:bCs/>
      <w:color w:val="4F81BD" w:themeColor="accent1"/>
    </w:rPr>
  </w:style>
  <w:style w:type="character" w:customStyle="1" w:styleId="af4">
    <w:name w:val="标题 字符"/>
    <w:basedOn w:val="a2"/>
    <w:link w:val="af3"/>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af1">
    <w:name w:val="副标题 字符"/>
    <w:basedOn w:val="a2"/>
    <w:link w:val="af0"/>
    <w:uiPriority w:val="11"/>
    <w:rPr>
      <w:rFonts w:asciiTheme="majorHAnsi" w:eastAsiaTheme="majorEastAsia" w:hAnsiTheme="majorHAnsi" w:cstheme="majorBidi"/>
      <w:i/>
      <w:iCs/>
      <w:color w:val="4F81BD" w:themeColor="accent1"/>
      <w:spacing w:val="15"/>
      <w:sz w:val="24"/>
      <w:szCs w:val="24"/>
    </w:rPr>
  </w:style>
  <w:style w:type="paragraph" w:styleId="aff0">
    <w:name w:val="List Paragraph"/>
    <w:basedOn w:val="a1"/>
    <w:uiPriority w:val="34"/>
    <w:qFormat/>
    <w:pPr>
      <w:ind w:left="720"/>
      <w:contextualSpacing/>
    </w:pPr>
  </w:style>
  <w:style w:type="character" w:customStyle="1" w:styleId="aa">
    <w:name w:val="正文文本 字符"/>
    <w:basedOn w:val="a2"/>
    <w:link w:val="a9"/>
    <w:uiPriority w:val="99"/>
  </w:style>
  <w:style w:type="character" w:customStyle="1" w:styleId="25">
    <w:name w:val="正文文本 2 字符"/>
    <w:basedOn w:val="a2"/>
    <w:link w:val="24"/>
    <w:uiPriority w:val="99"/>
  </w:style>
  <w:style w:type="character" w:customStyle="1" w:styleId="35">
    <w:name w:val="正文文本 3 字符"/>
    <w:basedOn w:val="a2"/>
    <w:link w:val="34"/>
    <w:uiPriority w:val="99"/>
    <w:rPr>
      <w:sz w:val="16"/>
      <w:szCs w:val="16"/>
    </w:rPr>
  </w:style>
  <w:style w:type="character" w:customStyle="1" w:styleId="a6">
    <w:name w:val="宏文本 字符"/>
    <w:basedOn w:val="a2"/>
    <w:link w:val="a5"/>
    <w:uiPriority w:val="99"/>
    <w:rPr>
      <w:rFonts w:ascii="Courier" w:hAnsi="Courier"/>
      <w:sz w:val="20"/>
      <w:szCs w:val="20"/>
    </w:rPr>
  </w:style>
  <w:style w:type="paragraph" w:styleId="aff1">
    <w:name w:val="Quote"/>
    <w:basedOn w:val="a1"/>
    <w:next w:val="a1"/>
    <w:link w:val="aff2"/>
    <w:uiPriority w:val="29"/>
    <w:qFormat/>
    <w:rPr>
      <w:i/>
      <w:iCs/>
      <w:color w:val="000000" w:themeColor="text1"/>
    </w:rPr>
  </w:style>
  <w:style w:type="character" w:customStyle="1" w:styleId="aff2">
    <w:name w:val="引用 字符"/>
    <w:basedOn w:val="a2"/>
    <w:link w:val="aff1"/>
    <w:uiPriority w:val="29"/>
    <w:rPr>
      <w:i/>
      <w:iCs/>
      <w:color w:val="000000" w:themeColor="text1"/>
    </w:rPr>
  </w:style>
  <w:style w:type="character" w:customStyle="1" w:styleId="40">
    <w:name w:val="标题 4 字符"/>
    <w:basedOn w:val="a2"/>
    <w:link w:val="4"/>
    <w:uiPriority w:val="9"/>
    <w:semiHidden/>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Pr>
      <w:rFonts w:asciiTheme="majorHAnsi" w:eastAsiaTheme="majorEastAsia" w:hAnsiTheme="majorHAnsi" w:cstheme="majorBidi"/>
      <w:color w:val="244061" w:themeColor="accent1" w:themeShade="80"/>
    </w:rPr>
  </w:style>
  <w:style w:type="character" w:customStyle="1" w:styleId="60">
    <w:name w:val="标题 6 字符"/>
    <w:basedOn w:val="a2"/>
    <w:link w:val="6"/>
    <w:uiPriority w:val="9"/>
    <w:semiHidden/>
    <w:rPr>
      <w:rFonts w:asciiTheme="majorHAnsi" w:eastAsiaTheme="majorEastAsia" w:hAnsiTheme="majorHAnsi" w:cstheme="majorBidi"/>
      <w:i/>
      <w:iCs/>
      <w:color w:val="244061" w:themeColor="accent1" w:themeShade="80"/>
    </w:rPr>
  </w:style>
  <w:style w:type="character" w:customStyle="1" w:styleId="70">
    <w:name w:val="标题 7 字符"/>
    <w:basedOn w:val="a2"/>
    <w:link w:val="7"/>
    <w:uiPriority w:val="9"/>
    <w:semiHidden/>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Pr>
      <w:rFonts w:asciiTheme="majorHAnsi" w:eastAsiaTheme="majorEastAsia" w:hAnsiTheme="majorHAnsi" w:cstheme="majorBidi"/>
      <w:i/>
      <w:iCs/>
      <w:color w:val="404040" w:themeColor="text1" w:themeTint="BF"/>
      <w:sz w:val="20"/>
      <w:szCs w:val="20"/>
    </w:rPr>
  </w:style>
  <w:style w:type="paragraph" w:styleId="aff3">
    <w:name w:val="Intense Quote"/>
    <w:basedOn w:val="a1"/>
    <w:next w:val="a1"/>
    <w:link w:val="aff4"/>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f4">
    <w:name w:val="明显引用 字符"/>
    <w:basedOn w:val="a2"/>
    <w:link w:val="aff3"/>
    <w:uiPriority w:val="30"/>
    <w:rPr>
      <w:b/>
      <w:bCs/>
      <w:i/>
      <w:iCs/>
      <w:color w:val="4F81BD" w:themeColor="accent1"/>
    </w:rPr>
  </w:style>
  <w:style w:type="character" w:customStyle="1" w:styleId="14">
    <w:name w:val="不明显强调1"/>
    <w:basedOn w:val="a2"/>
    <w:uiPriority w:val="19"/>
    <w:qFormat/>
    <w:rPr>
      <w:i/>
      <w:iCs/>
      <w:color w:val="7F7F7F" w:themeColor="text1" w:themeTint="80"/>
    </w:rPr>
  </w:style>
  <w:style w:type="character" w:customStyle="1" w:styleId="15">
    <w:name w:val="明显强调1"/>
    <w:basedOn w:val="a2"/>
    <w:uiPriority w:val="21"/>
    <w:qFormat/>
    <w:rPr>
      <w:b/>
      <w:bCs/>
      <w:i/>
      <w:iCs/>
      <w:color w:val="4F81BD" w:themeColor="accent1"/>
    </w:rPr>
  </w:style>
  <w:style w:type="character" w:customStyle="1" w:styleId="16">
    <w:name w:val="不明显参考1"/>
    <w:basedOn w:val="a2"/>
    <w:uiPriority w:val="31"/>
    <w:qFormat/>
    <w:rPr>
      <w:smallCaps/>
      <w:color w:val="C0504D" w:themeColor="accent2"/>
      <w:u w:val="single"/>
    </w:rPr>
  </w:style>
  <w:style w:type="character" w:customStyle="1" w:styleId="17">
    <w:name w:val="明显参考1"/>
    <w:basedOn w:val="a2"/>
    <w:uiPriority w:val="32"/>
    <w:qFormat/>
    <w:rPr>
      <w:b/>
      <w:bCs/>
      <w:smallCaps/>
      <w:color w:val="C0504D" w:themeColor="accent2"/>
      <w:spacing w:val="5"/>
      <w:u w:val="single"/>
    </w:rPr>
  </w:style>
  <w:style w:type="character" w:customStyle="1" w:styleId="18">
    <w:name w:val="书籍标题1"/>
    <w:basedOn w:val="a2"/>
    <w:uiPriority w:val="33"/>
    <w:qFormat/>
    <w:rPr>
      <w:b/>
      <w:bCs/>
      <w:smallCaps/>
      <w:spacing w:val="5"/>
    </w:rPr>
  </w:style>
  <w:style w:type="paragraph" w:customStyle="1" w:styleId="TOC1">
    <w:name w:val="TOC 标题1"/>
    <w:basedOn w:val="1"/>
    <w:next w:val="a1"/>
    <w:uiPriority w:val="39"/>
    <w:semiHidden/>
    <w:unhideWhenUsed/>
    <w:qFormat/>
    <w:pPr>
      <w:outlineLvl w:val="9"/>
    </w:pPr>
  </w:style>
  <w:style w:type="character" w:styleId="aff5">
    <w:name w:val="annotation reference"/>
    <w:basedOn w:val="a2"/>
    <w:uiPriority w:val="99"/>
    <w:semiHidden/>
    <w:unhideWhenUsed/>
    <w:rPr>
      <w:sz w:val="21"/>
      <w:szCs w:val="21"/>
    </w:rPr>
  </w:style>
  <w:style w:type="paragraph" w:styleId="aff6">
    <w:name w:val="Revision"/>
    <w:hidden/>
    <w:uiPriority w:val="99"/>
    <w:unhideWhenUsed/>
    <w:rsid w:val="008E1584"/>
    <w:rPr>
      <w:rFonts w:ascii="Noto Serif CJK SC" w:eastAsia="Noto Serif CJK SC" w:hAnsi="Noto Serif CJK SC"/>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Pages>
  <Words>866</Words>
  <Characters>4938</Characters>
  <Application>Microsoft Office Word</Application>
  <DocSecurity>0</DocSecurity>
  <Lines>41</Lines>
  <Paragraphs>11</Paragraphs>
  <ScaleCrop>false</ScaleCrop>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李遥</cp:lastModifiedBy>
  <cp:revision>7</cp:revision>
  <dcterms:created xsi:type="dcterms:W3CDTF">2026-03-19T14:13:00Z</dcterms:created>
  <dcterms:modified xsi:type="dcterms:W3CDTF">2026-04-07T03:11:00Z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eyJoZGlkIjoiYTc2ZGZiNzZiNDVlOGViOWVmM2JhOTY0NGJkNjUyYzgiLCJ1c2VySWQiOiI0MjM0NDQ3OTkifQ==</vt:lpwstr>
  </property>
  <property fmtid="{D5CDD505-2E9C-101B-9397-08002B2CF9AE}" pid="3" name="KSOProductBuildVer">
    <vt:lpwstr>2052-12.1.0.25225</vt:lpwstr>
  </property>
  <property fmtid="{D5CDD505-2E9C-101B-9397-08002B2CF9AE}" pid="4" name="ICV">
    <vt:lpwstr>29BE96A9EB6845539470801A1BFE4D3E_12</vt:lpwstr>
  </property>
</Properties>
</file>