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6A9D" w14:textId="77777777" w:rsidR="00EE1CF6" w:rsidRDefault="00EE1CF6" w:rsidP="000234C8">
      <w:pPr>
        <w:jc w:val="center"/>
        <w:rPr>
          <w:rFonts w:hint="eastAsia"/>
        </w:rPr>
      </w:pPr>
      <w:r>
        <w:rPr>
          <w:rFonts w:hint="eastAsia"/>
        </w:rPr>
        <w:t>关于证券基金期货业反洗</w:t>
      </w:r>
      <w:proofErr w:type="gramStart"/>
      <w:r>
        <w:rPr>
          <w:rFonts w:hint="eastAsia"/>
        </w:rPr>
        <w:t>钱工作</w:t>
      </w:r>
      <w:proofErr w:type="gramEnd"/>
      <w:r>
        <w:rPr>
          <w:rFonts w:hint="eastAsia"/>
        </w:rPr>
        <w:t>有关事项的通知</w:t>
      </w:r>
    </w:p>
    <w:p w14:paraId="70F071B8" w14:textId="77777777" w:rsidR="00EE1CF6" w:rsidRDefault="00EE1CF6" w:rsidP="000234C8">
      <w:pPr>
        <w:jc w:val="center"/>
        <w:rPr>
          <w:rFonts w:hint="eastAsia"/>
        </w:rPr>
      </w:pPr>
      <w:r>
        <w:rPr>
          <w:rFonts w:hint="eastAsia"/>
        </w:rPr>
        <w:t>发文机构：中国人民银行反洗钱局</w:t>
      </w:r>
    </w:p>
    <w:p w14:paraId="5ADF67C5" w14:textId="77777777" w:rsidR="00EE1CF6" w:rsidRDefault="00EE1CF6" w:rsidP="000234C8">
      <w:pPr>
        <w:jc w:val="center"/>
        <w:rPr>
          <w:rFonts w:hint="eastAsia"/>
        </w:rPr>
      </w:pPr>
      <w:r>
        <w:rPr>
          <w:rFonts w:hint="eastAsia"/>
        </w:rPr>
        <w:t>发文日期：2019.09.27</w:t>
      </w:r>
    </w:p>
    <w:p w14:paraId="12F485F9" w14:textId="54A50C8D" w:rsidR="00EE1CF6" w:rsidRDefault="00EE1CF6" w:rsidP="000234C8">
      <w:pPr>
        <w:jc w:val="center"/>
        <w:rPr>
          <w:rFonts w:hint="eastAsia"/>
        </w:rPr>
      </w:pPr>
      <w:r>
        <w:rPr>
          <w:rFonts w:hint="eastAsia"/>
        </w:rPr>
        <w:t>施行日期：2019.09.27</w:t>
      </w:r>
    </w:p>
    <w:p w14:paraId="0CF25B61" w14:textId="77777777" w:rsidR="00EE1CF6" w:rsidRDefault="00EE1CF6" w:rsidP="000234C8">
      <w:pPr>
        <w:jc w:val="center"/>
        <w:rPr>
          <w:rFonts w:hint="eastAsia"/>
        </w:rPr>
      </w:pPr>
      <w:r>
        <w:rPr>
          <w:rFonts w:hint="eastAsia"/>
        </w:rPr>
        <w:t>文号：（银反洗发〔2019〕20号）</w:t>
      </w:r>
    </w:p>
    <w:p w14:paraId="79FD8DB4" w14:textId="77777777" w:rsidR="00EE1CF6" w:rsidRDefault="00EE1CF6" w:rsidP="00EE1CF6">
      <w:pPr>
        <w:rPr>
          <w:rFonts w:hint="eastAsia"/>
        </w:rPr>
      </w:pPr>
      <w:r>
        <w:rPr>
          <w:rFonts w:hint="eastAsia"/>
        </w:rPr>
        <w:t>为切实贯彻风险为本反洗钱方法，推动证券期货业加强反洗钱和反恐怖融资（以下简称反洗钱）工作，在现有反洗</w:t>
      </w:r>
      <w:proofErr w:type="gramStart"/>
      <w:r>
        <w:rPr>
          <w:rFonts w:hint="eastAsia"/>
        </w:rPr>
        <w:t>钱法律</w:t>
      </w:r>
      <w:proofErr w:type="gramEnd"/>
      <w:r>
        <w:rPr>
          <w:rFonts w:hint="eastAsia"/>
        </w:rPr>
        <w:t>规定基础上，结合反洗钱国际标准和我国证券基金期货业务实践，现就证券基金期货</w:t>
      </w:r>
      <w:proofErr w:type="gramStart"/>
      <w:r>
        <w:rPr>
          <w:rFonts w:hint="eastAsia"/>
        </w:rPr>
        <w:t>业客户</w:t>
      </w:r>
      <w:proofErr w:type="gramEnd"/>
      <w:r>
        <w:rPr>
          <w:rFonts w:hint="eastAsia"/>
        </w:rPr>
        <w:t>身份识别有关问题通知如下：</w:t>
      </w:r>
    </w:p>
    <w:p w14:paraId="124A944C" w14:textId="77777777" w:rsidR="00EE1CF6" w:rsidRDefault="00EE1CF6" w:rsidP="00EE1CF6">
      <w:pPr>
        <w:rPr>
          <w:rFonts w:hint="eastAsia"/>
        </w:rPr>
      </w:pPr>
      <w:r>
        <w:rPr>
          <w:rFonts w:hint="eastAsia"/>
        </w:rPr>
        <w:t>（一）关于存量客户身份证件过期的后续处理</w:t>
      </w:r>
    </w:p>
    <w:p w14:paraId="614B674A" w14:textId="77777777" w:rsidR="00EE1CF6" w:rsidRDefault="00EE1CF6" w:rsidP="00EE1CF6">
      <w:pPr>
        <w:rPr>
          <w:rFonts w:hint="eastAsia"/>
        </w:rPr>
      </w:pPr>
      <w:r>
        <w:rPr>
          <w:rFonts w:hint="eastAsia"/>
        </w:rPr>
        <w:t>对于身份证件或身份证明文件已过有效期的存量客户，证券基金期货经营机构应当及时提示客户并限定其在合理期限内更新身份信息。对于未在合理期限内更新且没有提出合理理由的客户，证券公司应当采取限制为其办理新业务、限制撤销指定交易、限制转托管及限制其资金转出等措施，基金管理公司应当采取限制为其办理认购、申购及限制基金份额转换等措施，期货公司应当采取限制为其办理新业务、限制其资金转出等措施。证券基金期货经营机构应勤勉尽责开展客户身份持续识别，按照风险为本和实质重于形式的原则，关注客户身份信息变化及其日常经营活动和金融交易情况，加强交易监测，并按规定留存相关工作记录。</w:t>
      </w:r>
    </w:p>
    <w:p w14:paraId="68663DA1" w14:textId="77777777" w:rsidR="00EE1CF6" w:rsidRDefault="00EE1CF6" w:rsidP="00EE1CF6">
      <w:pPr>
        <w:rPr>
          <w:rFonts w:hint="eastAsia"/>
        </w:rPr>
      </w:pPr>
      <w:r>
        <w:rPr>
          <w:rFonts w:hint="eastAsia"/>
        </w:rPr>
        <w:t>（二）关于基金产品代销模式下的客户身份识别</w:t>
      </w:r>
    </w:p>
    <w:p w14:paraId="6B8B7855" w14:textId="77777777" w:rsidR="00EE1CF6" w:rsidRDefault="00EE1CF6" w:rsidP="00EE1CF6">
      <w:pPr>
        <w:rPr>
          <w:rFonts w:hint="eastAsia"/>
        </w:rPr>
      </w:pPr>
      <w:r>
        <w:rPr>
          <w:rFonts w:hint="eastAsia"/>
        </w:rPr>
        <w:t>证券投资基金管理公司（以下简称基金管理公司）在采用第三方机构代为销售公</w:t>
      </w:r>
      <w:proofErr w:type="gramStart"/>
      <w:r>
        <w:rPr>
          <w:rFonts w:hint="eastAsia"/>
        </w:rPr>
        <w:t>募基金</w:t>
      </w:r>
      <w:proofErr w:type="gramEnd"/>
      <w:r>
        <w:rPr>
          <w:rFonts w:hint="eastAsia"/>
        </w:rPr>
        <w:t>产品时，应当充分评估代销模式下公</w:t>
      </w:r>
      <w:proofErr w:type="gramStart"/>
      <w:r>
        <w:rPr>
          <w:rFonts w:hint="eastAsia"/>
        </w:rPr>
        <w:t>募基金</w:t>
      </w:r>
      <w:proofErr w:type="gramEnd"/>
      <w:r>
        <w:rPr>
          <w:rFonts w:hint="eastAsia"/>
        </w:rPr>
        <w:t>产品洗钱风险，结合客户、业务、交易渠道等，制定合理的客户尽职调查措施，与基金代销机构签署符合法律规定和风险管理策略的代销协议。从事基金代销业务的金融机构应当识别、评估代销基金产品业务洗钱和恐怖融资风险，根据反洗钱相关法律法规的规定识别客户身份，在不违反相关保密规定的前提下，向基金管理公司在可疑交易监测分析、名单监控等方面提供必要的协助。</w:t>
      </w:r>
    </w:p>
    <w:p w14:paraId="31832723" w14:textId="77777777" w:rsidR="00EE1CF6" w:rsidRDefault="00EE1CF6" w:rsidP="00EE1CF6">
      <w:pPr>
        <w:rPr>
          <w:rFonts w:hint="eastAsia"/>
        </w:rPr>
      </w:pPr>
      <w:r>
        <w:rPr>
          <w:rFonts w:hint="eastAsia"/>
        </w:rPr>
        <w:t>对于经评估认为某种代销模式洗钱风险相对较低且代销机构作为反洗</w:t>
      </w:r>
      <w:proofErr w:type="gramStart"/>
      <w:r>
        <w:rPr>
          <w:rFonts w:hint="eastAsia"/>
        </w:rPr>
        <w:t>钱义务</w:t>
      </w:r>
      <w:proofErr w:type="gramEnd"/>
      <w:r>
        <w:rPr>
          <w:rFonts w:hint="eastAsia"/>
        </w:rPr>
        <w:t>主体已履行客户身份识别义务时，基金管理公司可根据客户风险状况采取适当简化的客户身份识别措施，例如在初次识别客户身份时，可先获取客户姓名、性别、职业、身份证件或身份证明文件的种类、号码和有效期限等身份信息，并合理运用已掌握的信息开展客户分类管理和交易监测。经评估认为客户风险水平相对较高，或者客户申购、赎回基金份额较大，或者认为客户或其交易与洗钱或恐怖融资等犯罪活动相关时，基金管理公司不得简化客户身份识别，而应当在完整获取客户身份基本信息基础上，进一步采取强化尽职调查措施。</w:t>
      </w:r>
    </w:p>
    <w:p w14:paraId="6DCA0797" w14:textId="77777777" w:rsidR="00EE1CF6" w:rsidRDefault="00EE1CF6" w:rsidP="00EE1CF6">
      <w:pPr>
        <w:rPr>
          <w:rFonts w:hint="eastAsia"/>
        </w:rPr>
      </w:pPr>
      <w:r>
        <w:rPr>
          <w:rFonts w:hint="eastAsia"/>
        </w:rPr>
        <w:lastRenderedPageBreak/>
        <w:t>对于经评估认为某种代销模式洗钱风险相对较高时，基金管理公司不得简化客户身份识别措施。</w:t>
      </w:r>
    </w:p>
    <w:p w14:paraId="537D7AF5" w14:textId="77777777" w:rsidR="00EE1CF6" w:rsidRDefault="00EE1CF6" w:rsidP="00EE1CF6">
      <w:pPr>
        <w:rPr>
          <w:rFonts w:hint="eastAsia"/>
        </w:rPr>
      </w:pPr>
      <w:r>
        <w:rPr>
          <w:rFonts w:hint="eastAsia"/>
        </w:rPr>
        <w:t>（三）关于境外客户身份识别的问题</w:t>
      </w:r>
    </w:p>
    <w:p w14:paraId="10EE2A12" w14:textId="77777777" w:rsidR="00EE1CF6" w:rsidRDefault="00EE1CF6" w:rsidP="00EE1CF6">
      <w:pPr>
        <w:rPr>
          <w:rFonts w:hint="eastAsia"/>
        </w:rPr>
      </w:pPr>
      <w:r>
        <w:rPr>
          <w:rFonts w:hint="eastAsia"/>
        </w:rPr>
        <w:t>证券期货经营机构通过接受境外经纪机构（或境外中介机构）委托的方式，为境外经纪机构或其客户提供境内证券交易等金融服务时，应当至少采取以下措施：一是严格审查境外经纪机构反洗钱履职情况，审查该经纪机构所在国家洗钱或恐怖融资风险状况和反洗</w:t>
      </w:r>
      <w:proofErr w:type="gramStart"/>
      <w:r>
        <w:rPr>
          <w:rFonts w:hint="eastAsia"/>
        </w:rPr>
        <w:t>钱机制</w:t>
      </w:r>
      <w:proofErr w:type="gramEnd"/>
      <w:r>
        <w:rPr>
          <w:rFonts w:hint="eastAsia"/>
        </w:rPr>
        <w:t>完善程度，充分收集该经纪机构的信息，了解其是否因洗钱或恐怖融资受到调查或其他监管活动，评估该经纪机构反洗钱内控机制是否健全等。二是建立委托代理业务关系前获得高级管理层的审批。三是在签署委托代理协议时，明确双方应当按照反洗钱要求履行客户身份识别、客户身份资料和交易记录保存、可疑交易报告、名单监控等反洗钱职责。</w:t>
      </w:r>
    </w:p>
    <w:p w14:paraId="30CA1C1B" w14:textId="77777777" w:rsidR="00EE1CF6" w:rsidRDefault="00EE1CF6" w:rsidP="00EE1CF6">
      <w:pPr>
        <w:rPr>
          <w:rFonts w:hint="eastAsia"/>
        </w:rPr>
      </w:pPr>
      <w:r>
        <w:rPr>
          <w:rFonts w:hint="eastAsia"/>
        </w:rPr>
        <w:t>证券期货经营机构直接接受境外交易者委托，为其提供境内证券交易等金融服务的，应当严格按照反洗钱有关规定履行客户身份识别职责。</w:t>
      </w:r>
    </w:p>
    <w:p w14:paraId="2058F5BA" w14:textId="1BD0B55B" w:rsidR="00424F04" w:rsidRDefault="00EE1CF6" w:rsidP="00EE1CF6">
      <w:pPr>
        <w:rPr>
          <w:rFonts w:hint="eastAsia"/>
        </w:rPr>
      </w:pPr>
      <w:r>
        <w:rPr>
          <w:rFonts w:hint="eastAsia"/>
        </w:rPr>
        <w:t>在执行过程中如遇到新情况、新问题，证券期货机构要及时报告。</w:t>
      </w:r>
    </w:p>
    <w:sectPr w:rsidR="0042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F6"/>
    <w:rsid w:val="000234C8"/>
    <w:rsid w:val="000A39B7"/>
    <w:rsid w:val="00174865"/>
    <w:rsid w:val="00424F04"/>
    <w:rsid w:val="00EE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C24E"/>
  <w15:chartTrackingRefBased/>
  <w15:docId w15:val="{0C2C7329-D39D-4872-B24C-05BD4C5F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CF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E1CF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E1CF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E1CF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E1CF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E1CF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E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C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E1C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E1C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E1CF6"/>
    <w:rPr>
      <w:rFonts w:cstheme="majorBidi"/>
      <w:color w:val="0F4761" w:themeColor="accent1" w:themeShade="BF"/>
      <w:sz w:val="28"/>
      <w:szCs w:val="28"/>
    </w:rPr>
  </w:style>
  <w:style w:type="character" w:customStyle="1" w:styleId="50">
    <w:name w:val="标题 5 字符"/>
    <w:basedOn w:val="a0"/>
    <w:link w:val="5"/>
    <w:uiPriority w:val="9"/>
    <w:semiHidden/>
    <w:rsid w:val="00EE1CF6"/>
    <w:rPr>
      <w:rFonts w:cstheme="majorBidi"/>
      <w:color w:val="0F4761" w:themeColor="accent1" w:themeShade="BF"/>
      <w:sz w:val="24"/>
    </w:rPr>
  </w:style>
  <w:style w:type="character" w:customStyle="1" w:styleId="60">
    <w:name w:val="标题 6 字符"/>
    <w:basedOn w:val="a0"/>
    <w:link w:val="6"/>
    <w:uiPriority w:val="9"/>
    <w:semiHidden/>
    <w:rsid w:val="00EE1CF6"/>
    <w:rPr>
      <w:rFonts w:cstheme="majorBidi"/>
      <w:b/>
      <w:bCs/>
      <w:color w:val="0F4761" w:themeColor="accent1" w:themeShade="BF"/>
    </w:rPr>
  </w:style>
  <w:style w:type="character" w:customStyle="1" w:styleId="70">
    <w:name w:val="标题 7 字符"/>
    <w:basedOn w:val="a0"/>
    <w:link w:val="7"/>
    <w:uiPriority w:val="9"/>
    <w:semiHidden/>
    <w:rsid w:val="00EE1CF6"/>
    <w:rPr>
      <w:rFonts w:cstheme="majorBidi"/>
      <w:b/>
      <w:bCs/>
      <w:color w:val="595959" w:themeColor="text1" w:themeTint="A6"/>
    </w:rPr>
  </w:style>
  <w:style w:type="character" w:customStyle="1" w:styleId="80">
    <w:name w:val="标题 8 字符"/>
    <w:basedOn w:val="a0"/>
    <w:link w:val="8"/>
    <w:uiPriority w:val="9"/>
    <w:semiHidden/>
    <w:rsid w:val="00EE1CF6"/>
    <w:rPr>
      <w:rFonts w:cstheme="majorBidi"/>
      <w:color w:val="595959" w:themeColor="text1" w:themeTint="A6"/>
    </w:rPr>
  </w:style>
  <w:style w:type="character" w:customStyle="1" w:styleId="90">
    <w:name w:val="标题 9 字符"/>
    <w:basedOn w:val="a0"/>
    <w:link w:val="9"/>
    <w:uiPriority w:val="9"/>
    <w:semiHidden/>
    <w:rsid w:val="00EE1CF6"/>
    <w:rPr>
      <w:rFonts w:eastAsiaTheme="majorEastAsia" w:cstheme="majorBidi"/>
      <w:color w:val="595959" w:themeColor="text1" w:themeTint="A6"/>
    </w:rPr>
  </w:style>
  <w:style w:type="paragraph" w:styleId="a3">
    <w:name w:val="Title"/>
    <w:basedOn w:val="a"/>
    <w:next w:val="a"/>
    <w:link w:val="a4"/>
    <w:uiPriority w:val="10"/>
    <w:qFormat/>
    <w:rsid w:val="00EE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F6"/>
    <w:pPr>
      <w:spacing w:before="160"/>
      <w:jc w:val="center"/>
    </w:pPr>
    <w:rPr>
      <w:i/>
      <w:iCs/>
      <w:color w:val="404040" w:themeColor="text1" w:themeTint="BF"/>
    </w:rPr>
  </w:style>
  <w:style w:type="character" w:customStyle="1" w:styleId="a8">
    <w:name w:val="引用 字符"/>
    <w:basedOn w:val="a0"/>
    <w:link w:val="a7"/>
    <w:uiPriority w:val="29"/>
    <w:rsid w:val="00EE1CF6"/>
    <w:rPr>
      <w:i/>
      <w:iCs/>
      <w:color w:val="404040" w:themeColor="text1" w:themeTint="BF"/>
    </w:rPr>
  </w:style>
  <w:style w:type="paragraph" w:styleId="a9">
    <w:name w:val="List Paragraph"/>
    <w:basedOn w:val="a"/>
    <w:uiPriority w:val="34"/>
    <w:qFormat/>
    <w:rsid w:val="00EE1CF6"/>
    <w:pPr>
      <w:ind w:left="720"/>
      <w:contextualSpacing/>
    </w:pPr>
  </w:style>
  <w:style w:type="character" w:styleId="aa">
    <w:name w:val="Intense Emphasis"/>
    <w:basedOn w:val="a0"/>
    <w:uiPriority w:val="21"/>
    <w:qFormat/>
    <w:rsid w:val="00EE1CF6"/>
    <w:rPr>
      <w:i/>
      <w:iCs/>
      <w:color w:val="0F4761" w:themeColor="accent1" w:themeShade="BF"/>
    </w:rPr>
  </w:style>
  <w:style w:type="paragraph" w:styleId="ab">
    <w:name w:val="Intense Quote"/>
    <w:basedOn w:val="a"/>
    <w:next w:val="a"/>
    <w:link w:val="ac"/>
    <w:uiPriority w:val="30"/>
    <w:qFormat/>
    <w:rsid w:val="00EE1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E1CF6"/>
    <w:rPr>
      <w:i/>
      <w:iCs/>
      <w:color w:val="0F4761" w:themeColor="accent1" w:themeShade="BF"/>
    </w:rPr>
  </w:style>
  <w:style w:type="character" w:styleId="ad">
    <w:name w:val="Intense Reference"/>
    <w:basedOn w:val="a0"/>
    <w:uiPriority w:val="32"/>
    <w:qFormat/>
    <w:rsid w:val="00EE1C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刘孟浩</dc:creator>
  <cp:keywords/>
  <dc:description/>
  <cp:lastModifiedBy>刘孟浩</cp:lastModifiedBy>
  <cp:revision>2</cp:revision>
  <dcterms:created xsi:type="dcterms:W3CDTF">2025-05-07T02:52:00Z</dcterms:created>
  <dcterms:modified xsi:type="dcterms:W3CDTF">2025-05-07T02:54:00Z</dcterms:modified>
</cp:coreProperties>
</file>